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37F7A55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8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2AB7">
            <w:pPr>
              <w:widowControl/>
              <w:spacing w:line="240" w:lineRule="atLeast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</w:rPr>
              <w:t>氮气发生器及空气压缩机</w:t>
            </w:r>
          </w:p>
        </w:tc>
        <w:tc>
          <w:tcPr>
            <w:tcW w:w="5322" w:type="dxa"/>
            <w:vAlign w:val="center"/>
          </w:tcPr>
          <w:p w14:paraId="228645D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480" w:firstLineChars="2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此次采购</w:t>
            </w:r>
            <w:r>
              <w:rPr>
                <w:rFonts w:hint="eastAsia"/>
                <w:sz w:val="24"/>
                <w:szCs w:val="24"/>
              </w:rPr>
              <w:t>氮气发生器</w:t>
            </w:r>
            <w:r>
              <w:rPr>
                <w:sz w:val="24"/>
                <w:szCs w:val="24"/>
              </w:rPr>
              <w:t>1台，</w:t>
            </w:r>
            <w:r>
              <w:rPr>
                <w:rFonts w:hint="eastAsia"/>
                <w:sz w:val="24"/>
                <w:szCs w:val="24"/>
              </w:rPr>
              <w:t>空气压缩机2台，用于相关设备气体供应。氮气发生器及空气压缩机</w:t>
            </w:r>
            <w:r>
              <w:rPr>
                <w:sz w:val="24"/>
                <w:szCs w:val="24"/>
              </w:rPr>
              <w:t>技术要求如下：</w:t>
            </w:r>
          </w:p>
          <w:p w14:paraId="14332FCA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/>
                <w:bCs/>
                <w:sz w:val="24"/>
                <w:szCs w:val="24"/>
              </w:rPr>
              <w:t>氮气发生器：</w:t>
            </w:r>
          </w:p>
          <w:p w14:paraId="0ABD1F91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设备需配套POU纯化器，数量≥2个；</w:t>
            </w:r>
          </w:p>
          <w:p w14:paraId="1470C696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设备功率≥0.3kW；</w:t>
            </w:r>
          </w:p>
          <w:p w14:paraId="457F11DA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输出氮气流量≥</w:t>
            </w:r>
            <w:bookmarkStart w:id="0" w:name="_GoBack"/>
            <w:bookmarkEnd w:id="0"/>
            <w:r>
              <w:rPr>
                <w:rFonts w:hint="eastAsia"/>
                <w:bCs/>
                <w:sz w:val="24"/>
                <w:szCs w:val="24"/>
              </w:rPr>
              <w:t>400L/h；</w:t>
            </w:r>
          </w:p>
          <w:p w14:paraId="36DCBC3A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输出氮气纯度≥99.999%；</w:t>
            </w:r>
          </w:p>
          <w:p w14:paraId="4D2DC35A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/>
                <w:bCs/>
                <w:sz w:val="24"/>
                <w:szCs w:val="24"/>
              </w:rPr>
              <w:t>空气压缩机：</w:t>
            </w:r>
          </w:p>
          <w:p w14:paraId="6FAC3C11">
            <w:pPr>
              <w:pStyle w:val="5"/>
              <w:keepNext w:val="0"/>
              <w:keepLines w:val="0"/>
              <w:pageBreakBefore w:val="0"/>
              <w:numPr>
                <w:ilvl w:val="0"/>
                <w:numId w:val="2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采用无油涡旋式压缩机，设备功率≥3kW；</w:t>
            </w:r>
          </w:p>
          <w:p w14:paraId="3D89595A">
            <w:pPr>
              <w:pStyle w:val="5"/>
              <w:keepNext w:val="0"/>
              <w:keepLines w:val="0"/>
              <w:pageBreakBefore w:val="0"/>
              <w:numPr>
                <w:ilvl w:val="0"/>
                <w:numId w:val="2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输出压缩空气压力≥0.6MPa；</w:t>
            </w:r>
          </w:p>
          <w:p w14:paraId="5935B13A">
            <w:pPr>
              <w:pStyle w:val="5"/>
              <w:keepNext w:val="0"/>
              <w:keepLines w:val="0"/>
              <w:pageBreakBefore w:val="0"/>
              <w:numPr>
                <w:ilvl w:val="0"/>
                <w:numId w:val="2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Chars="0"/>
              <w:jc w:val="left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设备配备储气罐，储气容量≥200L，储气压力≥1MPa；</w:t>
            </w:r>
          </w:p>
          <w:p w14:paraId="072A7106">
            <w:pPr>
              <w:pStyle w:val="5"/>
              <w:keepNext w:val="0"/>
              <w:keepLines w:val="0"/>
              <w:pageBreakBefore w:val="0"/>
              <w:numPr>
                <w:ilvl w:val="0"/>
                <w:numId w:val="2"/>
              </w:numPr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Chars="0"/>
              <w:jc w:val="left"/>
              <w:textAlignment w:val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设备需配备干燥机、冷干机及过滤器，确保输出压缩空气干燥无尘；</w:t>
            </w:r>
          </w:p>
        </w:tc>
        <w:tc>
          <w:tcPr>
            <w:tcW w:w="1201" w:type="dxa"/>
            <w:vAlign w:val="center"/>
          </w:tcPr>
          <w:p w14:paraId="205FF5A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E15F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交货期：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合同签订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后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个月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内</w:t>
            </w:r>
          </w:p>
          <w:p w14:paraId="70017DC9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交付进度：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一次性交付</w:t>
            </w:r>
          </w:p>
          <w:p w14:paraId="5B719D2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付款方式：</w:t>
            </w:r>
            <w:r>
              <w:rPr>
                <w:sz w:val="24"/>
                <w:szCs w:val="24"/>
              </w:rPr>
              <w:t>合同签订后，支付合同总价的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0%；货物到达买家指定地点并经买家验收合格后，支付合同总价的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0%。</w:t>
            </w:r>
          </w:p>
          <w:p w14:paraId="3364DAC1">
            <w:pPr>
              <w:keepNext w:val="0"/>
              <w:keepLines w:val="0"/>
              <w:pageBreakBefore w:val="0"/>
              <w:widowControl/>
              <w:tabs>
                <w:tab w:val="left" w:pos="312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验收指标及验收要求：</w:t>
            </w:r>
            <w:r>
              <w:rPr>
                <w:rFonts w:hint="eastAsia"/>
                <w:kern w:val="0"/>
                <w:sz w:val="24"/>
                <w:szCs w:val="24"/>
              </w:rPr>
              <w:t>（1）设备交付时，供应商须提供设备合格证明；（2）设备到达指定现场后，安装及调试工作应由供应商完成。</w:t>
            </w:r>
          </w:p>
          <w:p w14:paraId="4BC95806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保修及售后服务：</w:t>
            </w:r>
            <w:r>
              <w:rPr>
                <w:kern w:val="0"/>
                <w:sz w:val="24"/>
                <w:szCs w:val="24"/>
              </w:rPr>
              <w:t>供应商提供不少于1年的质保服务，</w:t>
            </w:r>
            <w:r>
              <w:rPr>
                <w:rFonts w:hint="eastAsia"/>
                <w:kern w:val="0"/>
                <w:sz w:val="24"/>
                <w:szCs w:val="24"/>
              </w:rPr>
              <w:t>质保期内发生质量问题的，乙方应自接到甲方异议之日起3个工作日内响应并提出有效解决方案，所产生的费用由乙方承担；乙方需要</w:t>
            </w:r>
            <w:r>
              <w:rPr>
                <w:kern w:val="0"/>
                <w:sz w:val="24"/>
                <w:szCs w:val="24"/>
              </w:rPr>
              <w:t>提供相应技术支持</w:t>
            </w:r>
            <w:r>
              <w:rPr>
                <w:rFonts w:hint="eastAsia"/>
                <w:kern w:val="0"/>
                <w:sz w:val="24"/>
                <w:szCs w:val="24"/>
              </w:rPr>
              <w:t>，确保甲方能够及时有效的使用设备。</w:t>
            </w:r>
          </w:p>
          <w:p w14:paraId="63C950A3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其他：</w:t>
            </w:r>
          </w:p>
          <w:p w14:paraId="6B29F952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包装：包装必须符合所采用的运输方式的要求，并要便于各环节有关人员进行操作；在保证包装牢固的前提下节省费用。货物固定在箱体内，避免内部晃动。在包装箱上四个侧面的两个较大面上分别标记向上、怕湿、禁止翻转和吊装位置等符号，应清晰、可长期保持。清晰注明收货地址、收货人和发货地址，合同号、重量、包装箱的承重点等。</w:t>
            </w:r>
          </w:p>
          <w:p w14:paraId="5A1252A3">
            <w:pPr>
              <w:tabs>
                <w:tab w:val="left" w:pos="6915"/>
              </w:tabs>
              <w:spacing w:line="240" w:lineRule="atLeast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运输：陆运(公路或铁路) 或空运。</w:t>
            </w:r>
          </w:p>
        </w:tc>
        <w:tc>
          <w:tcPr>
            <w:tcW w:w="1201" w:type="dxa"/>
            <w:vAlign w:val="center"/>
          </w:tcPr>
          <w:p w14:paraId="324B1D2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5AB3EFD">
      <w:pPr>
        <w:ind w:right="840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</w:p>
    <w:p w14:paraId="6B36AD4F">
      <w:pPr>
        <w:ind w:right="840"/>
        <w:jc w:val="right"/>
        <w:rPr>
          <w:sz w:val="24"/>
          <w:szCs w:val="24"/>
        </w:rPr>
      </w:pP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</w:p>
    <w:p w14:paraId="6DF8710F">
      <w:pPr>
        <w:ind w:right="840"/>
        <w:jc w:val="right"/>
      </w:pP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</w:p>
    <w:p w14:paraId="3656B948"/>
    <w:p w14:paraId="4D0C58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72CB1"/>
    <w:multiLevelType w:val="multilevel"/>
    <w:tmpl w:val="00572CB1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1DF14DC8"/>
    <w:multiLevelType w:val="multilevel"/>
    <w:tmpl w:val="1DF14DC8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D653D"/>
    <w:rsid w:val="09CD3AAE"/>
    <w:rsid w:val="2C7D653D"/>
    <w:rsid w:val="6593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680</Words>
  <Characters>716</Characters>
  <Lines>0</Lines>
  <Paragraphs>0</Paragraphs>
  <TotalTime>0</TotalTime>
  <ScaleCrop>false</ScaleCrop>
  <LinksUpToDate>false</LinksUpToDate>
  <CharactersWithSpaces>719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2026-06-12T01:54:00Z</dcterms:created>
  <dc:creator>DELL</dc:creator>
  <cp:lastModifiedBy>王小宇</cp:lastModifiedBy>
  <dcterms:modified xsi:type="dcterms:W3CDTF">2026-07-03T07:42:48Z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CCBBADED90BC48B291912716DF9281EA_11</vt:lpwstr>
  </property>
  <property fmtid="{D5CDD505-2E9C-101B-9397-08002B2CF9AE}" pid="4" name="KSOTemplateDocerSaveRecord">
    <vt:lpwstr>eyJoZGlkIjoiN2RmNGQ2MDc0ZGFiNmIyNjNmMmJiNzcxMzg1OWQzY2YifQ==</vt:lpwstr>
  </property>
</Properties>
</file>