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AC448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4BED1386">
      <w:pPr>
        <w:jc w:val="center"/>
      </w:pPr>
      <w:bookmarkStart w:id="0" w:name="_GoBack"/>
      <w:r>
        <w:rPr>
          <w:rFonts w:hint="eastAsia"/>
          <w:sz w:val="36"/>
        </w:rPr>
        <w:t>技术指标供应商确认表</w:t>
      </w:r>
    </w:p>
    <w:bookmarkEnd w:id="0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900"/>
        <w:gridCol w:w="5945"/>
        <w:gridCol w:w="1202"/>
        <w:gridCol w:w="958"/>
      </w:tblGrid>
      <w:tr w14:paraId="05EE4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76" w:type="dxa"/>
            <w:vAlign w:val="center"/>
          </w:tcPr>
          <w:p w14:paraId="2065B20D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序号</w:t>
            </w:r>
          </w:p>
        </w:tc>
        <w:tc>
          <w:tcPr>
            <w:tcW w:w="900" w:type="dxa"/>
            <w:vAlign w:val="center"/>
          </w:tcPr>
          <w:p w14:paraId="1C771C07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名称</w:t>
            </w:r>
          </w:p>
        </w:tc>
        <w:tc>
          <w:tcPr>
            <w:tcW w:w="5945" w:type="dxa"/>
            <w:vAlign w:val="center"/>
          </w:tcPr>
          <w:p w14:paraId="63C1663B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技术指标</w:t>
            </w:r>
          </w:p>
        </w:tc>
        <w:tc>
          <w:tcPr>
            <w:tcW w:w="1202" w:type="dxa"/>
            <w:vAlign w:val="center"/>
          </w:tcPr>
          <w:p w14:paraId="4FD9FBB8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偏离说明</w:t>
            </w:r>
          </w:p>
          <w:p w14:paraId="149CE430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>无偏离</w:t>
            </w:r>
            <w:r>
              <w:rPr>
                <w:rFonts w:hint="eastAsia"/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正偏离</w:t>
            </w:r>
            <w:r>
              <w:rPr>
                <w:rFonts w:hint="eastAsia"/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负偏离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958" w:type="dxa"/>
            <w:vAlign w:val="center"/>
          </w:tcPr>
          <w:p w14:paraId="2BBF244B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偏离值</w:t>
            </w:r>
          </w:p>
        </w:tc>
      </w:tr>
      <w:tr w14:paraId="17F3B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2" w:hRule="atLeast"/>
        </w:trPr>
        <w:tc>
          <w:tcPr>
            <w:tcW w:w="776" w:type="dxa"/>
            <w:vAlign w:val="center"/>
          </w:tcPr>
          <w:p w14:paraId="3F375B0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1E0A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安全联锁系统</w:t>
            </w:r>
          </w:p>
        </w:tc>
        <w:tc>
          <w:tcPr>
            <w:tcW w:w="5945" w:type="dxa"/>
            <w:vAlign w:val="center"/>
          </w:tcPr>
          <w:p w14:paraId="3BB6590D">
            <w:pPr>
              <w:tabs>
                <w:tab w:val="left" w:pos="6915"/>
              </w:tabs>
              <w:jc w:val="left"/>
              <w:rPr>
                <w:rFonts w:hint="eastAsia" w:ascii="宋体" w:hAnsi="宋体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安全联锁系统包括人身安全联锁系统和设备安全联锁系统</w:t>
            </w:r>
            <w:r>
              <w:rPr>
                <w:rFonts w:hint="eastAsia" w:ascii="宋体" w:hAnsi="宋体"/>
                <w:bCs/>
                <w:sz w:val="21"/>
                <w:szCs w:val="21"/>
                <w:lang w:eastAsia="zh-CN"/>
              </w:rPr>
              <w:t>。</w:t>
            </w:r>
          </w:p>
          <w:p w14:paraId="137DB636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1、人身安全联锁系统1套</w:t>
            </w:r>
          </w:p>
          <w:tbl>
            <w:tblPr>
              <w:tblStyle w:val="3"/>
              <w:tblW w:w="4998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53"/>
              <w:gridCol w:w="4574"/>
              <w:gridCol w:w="490"/>
            </w:tblGrid>
            <w:tr w14:paraId="777AF39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571" w:type="pct"/>
                  <w:vAlign w:val="center"/>
                </w:tcPr>
                <w:p w14:paraId="60743EAA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/>
                      <w:b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/>
                      <w:sz w:val="21"/>
                      <w:szCs w:val="21"/>
                    </w:rPr>
                    <w:t>名称</w:t>
                  </w:r>
                </w:p>
              </w:tc>
              <w:tc>
                <w:tcPr>
                  <w:tcW w:w="4000" w:type="pct"/>
                  <w:vAlign w:val="center"/>
                </w:tcPr>
                <w:p w14:paraId="6694D9F8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/>
                      <w:b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/>
                      <w:sz w:val="21"/>
                      <w:szCs w:val="21"/>
                    </w:rPr>
                    <w:t>技术要求</w:t>
                  </w:r>
                </w:p>
              </w:tc>
              <w:tc>
                <w:tcPr>
                  <w:tcW w:w="428" w:type="pct"/>
                  <w:vAlign w:val="center"/>
                </w:tcPr>
                <w:p w14:paraId="01C407FB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/>
                      <w:b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/>
                      <w:sz w:val="21"/>
                      <w:szCs w:val="21"/>
                    </w:rPr>
                    <w:t>数量</w:t>
                  </w:r>
                </w:p>
              </w:tc>
            </w:tr>
            <w:tr w14:paraId="0DD5068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71" w:type="pct"/>
                  <w:vAlign w:val="center"/>
                </w:tcPr>
                <w:p w14:paraId="5B947FF4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联锁卡置换柜</w:t>
                  </w:r>
                </w:p>
              </w:tc>
              <w:tc>
                <w:tcPr>
                  <w:tcW w:w="4000" w:type="pct"/>
                </w:tcPr>
                <w:p w14:paraId="70F10741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主机：处理器≥I5，内存≥32GB，固态硬盘≥1T，网口10/100/1000M 自适应，电源100V-240V/50Hz/60Hz自适应；</w:t>
                  </w:r>
                </w:p>
                <w:p w14:paraId="69B032EF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触显模块：电容触摸屏，尺寸≥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31.5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寸；</w:t>
                  </w:r>
                </w:p>
                <w:p w14:paraId="279EF170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收发卡模块：配备2个收发卡模块，分别支持普通联锁门禁卡和管理卡的收发；支持读写 ISO14443，ISO15693的非接触卡，支持卡回收功能，支持卡预空提醒，卡空提醒，回收卡满，发卡故障等多种报警状态；卡量≥100张，通讯接口为RS232串口，配备的两种卡支持印制LOGO和文字；根据读取的身份卡，以及预设的权限实现不同类型联锁卡的收发。</w:t>
                  </w:r>
                </w:p>
                <w:p w14:paraId="4E4E5408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读卡模块：86型，支持RS485/Wiegand双模通讯；读卡类型支持ISO14443A，ISO14443B标准；支持开启 M1、CPU 加密认证，可防止手机NFC复制；具备开关量输入接口；与采购人现有门禁系统兼容；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 xml:space="preserve"> </w:t>
                  </w:r>
                </w:p>
                <w:p w14:paraId="4C6D77B4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联锁钥匙和指示灯：柜体上集成联锁钥匙、钥匙指示灯，并可以输出数字开关量信号；</w:t>
                  </w:r>
                </w:p>
                <w:p w14:paraId="1AFFDE5E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卡发放功能：读取个人身份卡信息并鉴权、根据权限吐出普通联锁门禁卡或管理卡，存储并展示取卡信息，支持语音和文字提示；机身集成摄像头可在取还卡时间段进行自动拍摄；</w:t>
                  </w:r>
                </w:p>
                <w:p w14:paraId="650280C8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卡回收功能：识别普通联锁门禁卡和管理卡并收回，存储并展示还卡信息，支持语音和文字提示；</w:t>
                  </w:r>
                </w:p>
                <w:p w14:paraId="2C13612F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卡在位检测功能：卡全部归位实时检测，并提供可访问的输出信息；</w:t>
                  </w:r>
                </w:p>
                <w:p w14:paraId="1218832E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身份录入功能：支持对人员信息、人员身份卡信息进行录入，并对权限进行配置；</w:t>
                  </w:r>
                </w:p>
                <w:p w14:paraId="590EDCBD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产品外形要求：下图供参考，机柜上方为触显模块，中间放置读卡器、联锁钥匙、钥匙指示灯，下方为两个卡出入口，高度需便于人站立操作，机身LOGO可订制。产品外壳需提供效果图，并经采购人同意后制作。</w:t>
                  </w:r>
                </w:p>
                <w:p w14:paraId="1C79F5BD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drawing>
                      <wp:inline distT="0" distB="0" distL="0" distR="0">
                        <wp:extent cx="977265" cy="1293495"/>
                        <wp:effectExtent l="0" t="0" r="13335" b="190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7265" cy="12934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8" w:type="pct"/>
                  <w:vAlign w:val="center"/>
                </w:tcPr>
                <w:p w14:paraId="0559C2E7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1台</w:t>
                  </w:r>
                </w:p>
              </w:tc>
            </w:tr>
            <w:tr w14:paraId="51EF73E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71" w:type="pct"/>
                  <w:vAlign w:val="center"/>
                </w:tcPr>
                <w:p w14:paraId="430A934C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联锁子站</w:t>
                  </w:r>
                </w:p>
              </w:tc>
              <w:tc>
                <w:tcPr>
                  <w:tcW w:w="4000" w:type="pct"/>
                </w:tcPr>
                <w:p w14:paraId="75FD7ACD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接口模块：IO接口模块，集成2个及以上 RJ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45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端口，支持冗余协议、MRP、PROFINET、SNMP等；背板供电；</w:t>
                  </w:r>
                </w:p>
                <w:p w14:paraId="20ADBB8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数字量输入模块：通道数≥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16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，24V直流输入；输入延迟时间 0,05~20ms；自带诊断功能，包括电压监控、断线、故障报警等，自带诊断显示LED；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 xml:space="preserve"> </w:t>
                  </w:r>
                </w:p>
                <w:p w14:paraId="38582D08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数字量输出模块：通道数≥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16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，24V直流输出，单通道最大输出电流0.5A；自带诊断功能，包括电压监控、断线、故障报警等，自带诊断显示LED；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 xml:space="preserve"> </w:t>
                  </w:r>
                </w:p>
                <w:p w14:paraId="164CF14F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通讯模块：支持串行通讯 RS422, RS485、RS232，支持Modbus协议；</w:t>
                  </w:r>
                </w:p>
                <w:p w14:paraId="12DE1D73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韦根转4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85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模块：额定电压DC9-15V，韦根信号格式支持标准的WG26/WG34，485 通讯参数9600/N/8/1，转换器采用高抗干扰MCU 处理芯片，内置看门狗电路，自动检测设备的工作做状态，工作异常时自动复位重置，支持导轨式安装；</w:t>
                  </w:r>
                </w:p>
                <w:p w14:paraId="20D21F3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网络模块：非网管型，10/100/1000 Mbit/s RJ45端口≥4个，1000 Mbit/s光纤端口≥1个；支持建立星形和线形拓扑；具备LED 诊断功能；</w:t>
                  </w:r>
                </w:p>
                <w:p w14:paraId="2DAC8D19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电源模块：调节型电源输入：110V-240VDC； 输出：24VDC/10A；具有过负载，过电压，过温度保护功能；提供故障反馈信号；</w:t>
                  </w:r>
                </w:p>
                <w:p w14:paraId="07C1AB7F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其他：子站支持与冗余PLC通信的介质冗余协议；配备断路器、导轨、继电器等必备的辅件；所有模块集成安装在一个机箱中，箱盖带玻璃检视窗，支持壁挂；子站需要与现有系统中的冗余控制器兼容；子站外壳需提供效果图，并经采购人同意后制作。</w:t>
                  </w:r>
                </w:p>
              </w:tc>
              <w:tc>
                <w:tcPr>
                  <w:tcW w:w="428" w:type="pct"/>
                  <w:vAlign w:val="center"/>
                </w:tcPr>
                <w:p w14:paraId="2BDCD54B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/>
                      <w:bCs/>
                      <w:sz w:val="21"/>
                      <w:szCs w:val="21"/>
                      <w:highlight w:val="yellow"/>
                    </w:rPr>
                  </w:pP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4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台</w:t>
                  </w:r>
                </w:p>
              </w:tc>
            </w:tr>
            <w:tr w14:paraId="48C3A3A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71" w:type="pct"/>
                  <w:vAlign w:val="center"/>
                </w:tcPr>
                <w:p w14:paraId="5C1163C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工业交换机</w:t>
                  </w:r>
                </w:p>
              </w:tc>
              <w:tc>
                <w:tcPr>
                  <w:tcW w:w="4000" w:type="pct"/>
                </w:tcPr>
                <w:p w14:paraId="222CCB31">
                  <w:pPr>
                    <w:tabs>
                      <w:tab w:val="left" w:pos="6915"/>
                    </w:tabs>
                    <w:jc w:val="left"/>
                    <w:rPr>
                      <w:rFonts w:ascii="MS Gothic" w:hAnsi="MS Gothic" w:eastAsia="MS Gothic" w:cs="MS Gothic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网管型，10/100/1000 Mbit/s RJ45端口≥6个，1000 Mbit/s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 xml:space="preserve"> SFP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光纤端口≥2个，1个控制台端口；支持冗余协议以及RSTP、VLAN、IGMP、MRP、PROFENET等协议，支持光纤环网，LED 诊断功能；与子站通信兼容；配光模块、光纤终端盒。</w:t>
                  </w:r>
                </w:p>
              </w:tc>
              <w:tc>
                <w:tcPr>
                  <w:tcW w:w="428" w:type="pct"/>
                  <w:vAlign w:val="center"/>
                </w:tcPr>
                <w:p w14:paraId="2B7BD5BE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2台</w:t>
                  </w:r>
                </w:p>
              </w:tc>
            </w:tr>
            <w:tr w14:paraId="6B16CB5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71" w:type="pct"/>
                  <w:vAlign w:val="center"/>
                </w:tcPr>
                <w:p w14:paraId="3B17ED9B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机柜</w:t>
                  </w:r>
                </w:p>
              </w:tc>
              <w:tc>
                <w:tcPr>
                  <w:tcW w:w="4000" w:type="pct"/>
                </w:tcPr>
                <w:p w14:paraId="2003359E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尺寸600mm宽*800mm深*2000mm高，机柜框架厚度不小于1.5mm；颜色：RAL9004黑色；前后门可开启，前面玻璃门，后门配散热风扇和过滤器，配备空开、电源滤波器、盲板、托盘、理线架、线槽；机柜内设置接地排。</w:t>
                  </w:r>
                </w:p>
              </w:tc>
              <w:tc>
                <w:tcPr>
                  <w:tcW w:w="428" w:type="pct"/>
                  <w:vAlign w:val="center"/>
                </w:tcPr>
                <w:p w14:paraId="362CADDD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1台</w:t>
                  </w:r>
                </w:p>
              </w:tc>
            </w:tr>
            <w:tr w14:paraId="39C613D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71" w:type="pct"/>
                  <w:vAlign w:val="center"/>
                </w:tcPr>
                <w:p w14:paraId="2D867705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线缆、辅材与安装集成</w:t>
                  </w:r>
                </w:p>
              </w:tc>
              <w:tc>
                <w:tcPr>
                  <w:tcW w:w="4000" w:type="pct"/>
                </w:tcPr>
                <w:p w14:paraId="59AF9240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线缆：RVVP 4×0.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7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5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mm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  <w:vertAlign w:val="superscript"/>
                    </w:rPr>
                    <w:t>2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信号线1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500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米；ZR-RVV 3×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4mm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  <w:vertAlign w:val="superscript"/>
                    </w:rPr>
                    <w:t>2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电源线3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00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米；ZR-RVV 3×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1.5mm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  <w:vertAlign w:val="superscript"/>
                    </w:rPr>
                    <w:t>2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电源线3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00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米；六类网线3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00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米；4芯光缆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300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米；信号线需具备CCC或CE认证。</w:t>
                  </w:r>
                </w:p>
                <w:p w14:paraId="208F268B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辅材：读卡器、语音播报器、声光报警各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6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个，一批接线端子、热缩管、扎带、线缆标签等。其中读卡器为RS485/Wiegand双模，支持ISO14443A/ISO14443B标准，可开启 M1、CPU 加密认证，防止NFC复制，与采购人现有门禁系统兼容。语音播报器可定制至少三条语音，支持通过USB更换音频文件，带支架可上墙安装，工作电压DC 24V，音量≥85dB，通过开关量触发；声光报警为一体立柱式红黄绿三层灯柱，带蜂鸣器，音量≥85dB，工作电压DC 24V，通过开关量触发，支持防水可户外上墙安装。</w:t>
                  </w:r>
                </w:p>
                <w:p w14:paraId="3E0AA76F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提供设备的现场安装，线缆铺设以及线缆接头制作、接线，并与现场的冗余控制器进行集成与调试。</w:t>
                  </w:r>
                </w:p>
              </w:tc>
              <w:tc>
                <w:tcPr>
                  <w:tcW w:w="428" w:type="pct"/>
                  <w:vAlign w:val="center"/>
                </w:tcPr>
                <w:p w14:paraId="16C9B00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1项</w:t>
                  </w:r>
                </w:p>
              </w:tc>
            </w:tr>
          </w:tbl>
          <w:p w14:paraId="5DF591EA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 w:val="21"/>
                <w:szCs w:val="21"/>
              </w:rPr>
            </w:pPr>
          </w:p>
          <w:p w14:paraId="5A709459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ascii="宋体" w:hAnsi="宋体"/>
                <w:bCs/>
                <w:sz w:val="21"/>
                <w:szCs w:val="21"/>
              </w:rPr>
              <w:t>2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、设备安全联锁系统1套</w:t>
            </w:r>
          </w:p>
          <w:tbl>
            <w:tblPr>
              <w:tblStyle w:val="3"/>
              <w:tblW w:w="0" w:type="auto"/>
              <w:tblInd w:w="17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53"/>
              <w:gridCol w:w="4237"/>
              <w:gridCol w:w="612"/>
            </w:tblGrid>
            <w:tr w14:paraId="74DE035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34" w:type="dxa"/>
                  <w:vAlign w:val="center"/>
                </w:tcPr>
                <w:p w14:paraId="2BF806FB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/>
                      <w:b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/>
                      <w:sz w:val="21"/>
                      <w:szCs w:val="21"/>
                    </w:rPr>
                    <w:t>名称</w:t>
                  </w:r>
                </w:p>
              </w:tc>
              <w:tc>
                <w:tcPr>
                  <w:tcW w:w="7938" w:type="dxa"/>
                  <w:vAlign w:val="center"/>
                </w:tcPr>
                <w:p w14:paraId="12A591FB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/>
                      <w:b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/>
                      <w:sz w:val="21"/>
                      <w:szCs w:val="21"/>
                    </w:rPr>
                    <w:t>技术要求</w:t>
                  </w:r>
                </w:p>
              </w:tc>
              <w:tc>
                <w:tcPr>
                  <w:tcW w:w="851" w:type="dxa"/>
                  <w:vAlign w:val="center"/>
                </w:tcPr>
                <w:p w14:paraId="1CBFF9FC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/>
                      <w:b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/>
                      <w:sz w:val="21"/>
                      <w:szCs w:val="21"/>
                    </w:rPr>
                    <w:t>数量</w:t>
                  </w:r>
                </w:p>
              </w:tc>
            </w:tr>
            <w:tr w14:paraId="108C288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34" w:type="dxa"/>
                  <w:vAlign w:val="center"/>
                </w:tcPr>
                <w:p w14:paraId="0433843E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sz w:val="21"/>
                      <w:szCs w:val="21"/>
                    </w:rPr>
                    <w:t>设备联锁控制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器</w:t>
                  </w:r>
                </w:p>
              </w:tc>
              <w:tc>
                <w:tcPr>
                  <w:tcW w:w="7938" w:type="dxa"/>
                </w:tcPr>
                <w:p w14:paraId="221206FC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PLC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CPU：用于程序的工作存储≥1MB，数据存储≥4MB，位运算的处理时间≤20ns，内置交换机，集成的以太网端口≥2个，支持LAD、STL、SCL、CFC等编程语言，配备的存储卡容量≥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24 MB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；</w:t>
                  </w:r>
                </w:p>
                <w:p w14:paraId="07367417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数字量输入模块：通道数≥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96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个，通道输入延时时间≤4ms；输入额定电压DC 24V，带通道级诊断功能；包含直插式前连接器；</w:t>
                  </w:r>
                </w:p>
                <w:p w14:paraId="4F104FFA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数字量输出模块：通道数≥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32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个，额定输出电压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DC 24V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，额定输出电流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0.5A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，带通道级诊断功能；通道的输出延时≤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500μs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；包含直插式前连接器。</w:t>
                  </w:r>
                </w:p>
                <w:p w14:paraId="3FD8F77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模拟量输入模块：输入通道≥1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6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个；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16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位分辨率，可变测量范围，支持电压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/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电流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/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热电阻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/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热电偶信号类型，支持两线制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/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四线制。</w:t>
                  </w:r>
                </w:p>
                <w:p w14:paraId="65359329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网络模块：10/100/1000 Mbit/s RJ45端口≥4个, 1000 Mbps光纤端口≥1个，支持RSTP、VLAN、PROFENET等协议；</w:t>
                  </w:r>
                </w:p>
                <w:p w14:paraId="0199B127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继电器模块：超薄型导轨式固态继电器；</w:t>
                  </w:r>
                </w:p>
                <w:p w14:paraId="002DC564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UPS模块：主机支持机架式安装， 额定输出容量3kVA，输出功率因数≥0.9，输出电压220V，配备2U电池包，确保电池满载后备运行时间不少于20分钟。</w:t>
                  </w:r>
                </w:p>
                <w:p w14:paraId="05A7C70E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机柜：以上模块集成部署在600mm宽*800mm深*2000mm高的控制机柜中，框架厚度不小于1.5mm；颜色：RAL9004黑色；前后门可开启，前面玻璃门，后门配散热风扇和过滤器；机柜中配备空开、三孔插座、线缆夹、接线端子等。</w:t>
                  </w:r>
                </w:p>
              </w:tc>
              <w:tc>
                <w:tcPr>
                  <w:tcW w:w="851" w:type="dxa"/>
                  <w:vAlign w:val="center"/>
                </w:tcPr>
                <w:p w14:paraId="0DE19C43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1台</w:t>
                  </w:r>
                </w:p>
              </w:tc>
            </w:tr>
            <w:tr w14:paraId="7BE0D7D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34" w:type="dxa"/>
                  <w:vAlign w:val="center"/>
                </w:tcPr>
                <w:p w14:paraId="4DA695F0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线缆、辅材与安装集成</w:t>
                  </w:r>
                </w:p>
              </w:tc>
              <w:tc>
                <w:tcPr>
                  <w:tcW w:w="7938" w:type="dxa"/>
                </w:tcPr>
                <w:p w14:paraId="4843C94F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线缆：RVVP 4×0.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7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5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mm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  <w:vertAlign w:val="superscript"/>
                    </w:rPr>
                    <w:t>2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信号线1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000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米；ZR-RVV 3×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4mm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  <w:vertAlign w:val="superscript"/>
                    </w:rPr>
                    <w:t>2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电源线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100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米；六类网线3</w:t>
                  </w:r>
                  <w:r>
                    <w:rPr>
                      <w:rFonts w:ascii="宋体" w:hAnsi="宋体"/>
                      <w:bCs/>
                      <w:sz w:val="21"/>
                      <w:szCs w:val="21"/>
                    </w:rPr>
                    <w:t>00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米；信号线需具备CCC或CE认证。</w:t>
                  </w:r>
                </w:p>
                <w:p w14:paraId="0AD2E55E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提供</w:t>
                  </w:r>
                  <w:r>
                    <w:rPr>
                      <w:rFonts w:hint="eastAsia" w:ascii="宋体" w:hAnsi="宋体"/>
                      <w:sz w:val="21"/>
                      <w:szCs w:val="21"/>
                    </w:rPr>
                    <w:t>设备的</w:t>
                  </w: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安装，线缆铺设以及线缆接头制作、接线，现场集成与调试。</w:t>
                  </w:r>
                </w:p>
              </w:tc>
              <w:tc>
                <w:tcPr>
                  <w:tcW w:w="851" w:type="dxa"/>
                  <w:vAlign w:val="center"/>
                </w:tcPr>
                <w:p w14:paraId="57B5FE12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 w:val="21"/>
                      <w:szCs w:val="21"/>
                    </w:rPr>
                    <w:t>1项</w:t>
                  </w:r>
                </w:p>
              </w:tc>
            </w:tr>
          </w:tbl>
          <w:p w14:paraId="34685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textAlignment w:val="auto"/>
              <w:rPr>
                <w:rFonts w:hint="eastAsia"/>
                <w:bCs/>
                <w:sz w:val="21"/>
                <w:szCs w:val="21"/>
              </w:rPr>
            </w:pPr>
          </w:p>
        </w:tc>
        <w:tc>
          <w:tcPr>
            <w:tcW w:w="1202" w:type="dxa"/>
            <w:vAlign w:val="center"/>
          </w:tcPr>
          <w:p w14:paraId="11BF7B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  <w:vAlign w:val="center"/>
          </w:tcPr>
          <w:p w14:paraId="5301A3EC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0E591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776" w:type="dxa"/>
            <w:vAlign w:val="center"/>
          </w:tcPr>
          <w:p w14:paraId="4DF2FEE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73B1D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商务条款</w:t>
            </w:r>
          </w:p>
        </w:tc>
        <w:tc>
          <w:tcPr>
            <w:tcW w:w="5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BA85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交货期：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合同签订之日起45天内将货物送达指定地点；合同签订之日起2个月内完成设备的安装集成；合同签订之日起5个月内完成联调。</w:t>
            </w:r>
          </w:p>
          <w:p w14:paraId="417D51A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交付进度：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合同签订之日起7日内，提供图纸经采购人确认后组装；合同签订之日起45天内将货物送达指定地点；合同签订之日起2个月内完成设备的安装集成；合同签订之日起5个月内完成联调。</w:t>
            </w:r>
          </w:p>
          <w:p w14:paraId="19B327D4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付款方式：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合同签订后支付20%合同款，货到验收合格后支付50%合同款，调试完成并验收合格后支付30%尾款。</w:t>
            </w:r>
          </w:p>
          <w:p w14:paraId="757E9324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验收指标及验收要求：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乙方提供的验收材料包括：产品合格证、出厂测试报告、电气原理图。</w:t>
            </w:r>
          </w:p>
          <w:p w14:paraId="2F414DC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lang w:val="en-US" w:eastAsia="zh-CN"/>
              </w:rPr>
              <w:t>保修及售后服务：</w:t>
            </w:r>
          </w:p>
          <w:p w14:paraId="20323094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质保期不少于24个月，起始日期以收到货物并通过验收之日开始计算。质保期内，供应商负责免费更换和维修零部件。供应商应于接到采购人通知后2小时内（法定假期除外）进行响应；需要抵达现场进行维修的，供应商应在12小时内抵达现场，并在合理的时间内完成维修。</w:t>
            </w:r>
          </w:p>
          <w:p w14:paraId="045BECA0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lang w:val="en-US" w:eastAsia="zh-CN"/>
              </w:rPr>
              <w:t>其它：</w:t>
            </w:r>
          </w:p>
          <w:p w14:paraId="0729A7C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供应商需提供设备的现场安装集成服务，包括但不限于安装、线缆接头制作、接线、信号通断和逻辑测试等，并配合陶璨束流测试平台辐射安全许可证的取证。</w:t>
            </w:r>
          </w:p>
          <w:p w14:paraId="15462309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提供总报价和分项报价；提供联锁子站三维图、信号线的CCC或CE认证证书复印件；提供现场作业人员名单，其中至少3人具备电工作业证，并提供证书复印件及近半年内任意三个月的社保证明材料。</w:t>
            </w:r>
          </w:p>
        </w:tc>
        <w:tc>
          <w:tcPr>
            <w:tcW w:w="1202" w:type="dxa"/>
            <w:vAlign w:val="center"/>
          </w:tcPr>
          <w:p w14:paraId="78474032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  <w:vAlign w:val="center"/>
          </w:tcPr>
          <w:p w14:paraId="0D001AB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6455552B">
      <w:pPr>
        <w:ind w:right="840"/>
        <w:rPr>
          <w:sz w:val="22"/>
          <w:szCs w:val="22"/>
        </w:rPr>
      </w:pPr>
    </w:p>
    <w:p w14:paraId="6484E376">
      <w:pPr>
        <w:ind w:right="840"/>
        <w:jc w:val="right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134CD995">
      <w:pPr>
        <w:ind w:right="840"/>
        <w:jc w:val="center"/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</w:t>
      </w:r>
      <w:r>
        <w:rPr>
          <w:rFonts w:hint="eastAsia"/>
          <w:sz w:val="24"/>
          <w:szCs w:val="24"/>
          <w:lang w:val="en-US" w:eastAsia="zh-CN"/>
        </w:rPr>
        <w:t xml:space="preserve">            </w:t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E53F5D"/>
    <w:rsid w:val="32E5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2026-04-13T09:44:00Z</dcterms:created>
  <dc:creator>DELL</dc:creator>
  <cp:lastModifiedBy>DELL</cp:lastModifiedBy>
  <dcterms:modified xsi:type="dcterms:W3CDTF">2026-04-13T09:58:04Z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1108D3AD20B54C838B63F25818A934AA_11</vt:lpwstr>
  </property>
  <property fmtid="{D5CDD505-2E9C-101B-9397-08002B2CF9AE}" pid="4" name="KSOTemplateDocerSaveRecord">
    <vt:lpwstr>eyJoZGlkIjoiN2RmNGQ2MDc0ZGFiNmIyNjNmMmJiNzcxMzg1OWQzY2YifQ==</vt:lpwstr>
  </property>
</Properties>
</file>