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F42D7">
      <w:pPr>
        <w:jc w:val="center"/>
        <w:rPr>
          <w:sz w:val="36"/>
        </w:rPr>
      </w:pPr>
      <w:r>
        <w:rPr>
          <w:sz w:val="36"/>
        </w:rPr>
        <w:t>中国科学技术大学国家同步辐射实验室</w:t>
      </w:r>
    </w:p>
    <w:p w14:paraId="71ADF21F">
      <w:pPr>
        <w:jc w:val="center"/>
        <w:rPr>
          <w:sz w:val="36"/>
        </w:rPr>
      </w:pPr>
      <w:r>
        <w:rPr>
          <w:rFonts w:hint="eastAsia"/>
          <w:sz w:val="36"/>
        </w:rPr>
        <w:t>技术指标供应商确认表</w:t>
      </w:r>
    </w:p>
    <w:p w14:paraId="50584A57"/>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561"/>
        <w:gridCol w:w="5322"/>
        <w:gridCol w:w="1201"/>
        <w:gridCol w:w="992"/>
      </w:tblGrid>
      <w:tr w14:paraId="20C6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3E29496F">
            <w:pPr>
              <w:spacing w:line="240" w:lineRule="atLeast"/>
              <w:jc w:val="center"/>
              <w:rPr>
                <w:sz w:val="24"/>
                <w:szCs w:val="24"/>
              </w:rPr>
            </w:pPr>
            <w:r>
              <w:rPr>
                <w:rFonts w:hint="eastAsia"/>
                <w:sz w:val="24"/>
                <w:szCs w:val="24"/>
              </w:rPr>
              <w:t>序号</w:t>
            </w:r>
          </w:p>
        </w:tc>
        <w:tc>
          <w:tcPr>
            <w:tcW w:w="1561" w:type="dxa"/>
            <w:vAlign w:val="center"/>
          </w:tcPr>
          <w:p w14:paraId="467D4662">
            <w:pPr>
              <w:spacing w:line="240" w:lineRule="atLeast"/>
              <w:jc w:val="center"/>
              <w:rPr>
                <w:sz w:val="24"/>
                <w:szCs w:val="24"/>
              </w:rPr>
            </w:pPr>
            <w:r>
              <w:rPr>
                <w:rFonts w:hint="eastAsia"/>
                <w:sz w:val="24"/>
                <w:szCs w:val="24"/>
              </w:rPr>
              <w:t>名称</w:t>
            </w:r>
          </w:p>
        </w:tc>
        <w:tc>
          <w:tcPr>
            <w:tcW w:w="5322" w:type="dxa"/>
            <w:vAlign w:val="center"/>
          </w:tcPr>
          <w:p w14:paraId="0B99A1E1">
            <w:pPr>
              <w:spacing w:line="240" w:lineRule="atLeast"/>
              <w:jc w:val="center"/>
              <w:rPr>
                <w:sz w:val="24"/>
                <w:szCs w:val="24"/>
              </w:rPr>
            </w:pPr>
            <w:r>
              <w:rPr>
                <w:rFonts w:hint="eastAsia"/>
                <w:sz w:val="24"/>
                <w:szCs w:val="24"/>
              </w:rPr>
              <w:t>技术指标</w:t>
            </w:r>
          </w:p>
        </w:tc>
        <w:tc>
          <w:tcPr>
            <w:tcW w:w="1201" w:type="dxa"/>
            <w:vAlign w:val="center"/>
          </w:tcPr>
          <w:p w14:paraId="78A93726">
            <w:pPr>
              <w:spacing w:line="240" w:lineRule="atLeast"/>
              <w:jc w:val="center"/>
              <w:rPr>
                <w:sz w:val="24"/>
                <w:szCs w:val="24"/>
              </w:rPr>
            </w:pPr>
            <w:r>
              <w:rPr>
                <w:rFonts w:hint="eastAsia"/>
                <w:sz w:val="24"/>
                <w:szCs w:val="24"/>
              </w:rPr>
              <w:t>偏离说明</w:t>
            </w:r>
          </w:p>
          <w:p w14:paraId="529022B5">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992" w:type="dxa"/>
            <w:vAlign w:val="center"/>
          </w:tcPr>
          <w:p w14:paraId="744AE6C5">
            <w:pPr>
              <w:spacing w:line="240" w:lineRule="atLeast"/>
              <w:jc w:val="center"/>
              <w:rPr>
                <w:sz w:val="24"/>
                <w:szCs w:val="24"/>
              </w:rPr>
            </w:pPr>
            <w:r>
              <w:rPr>
                <w:rFonts w:hint="eastAsia"/>
                <w:sz w:val="24"/>
                <w:szCs w:val="24"/>
              </w:rPr>
              <w:t>偏离值</w:t>
            </w:r>
          </w:p>
        </w:tc>
      </w:tr>
      <w:tr w14:paraId="6C24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9" w:hRule="atLeast"/>
        </w:trPr>
        <w:tc>
          <w:tcPr>
            <w:tcW w:w="705" w:type="dxa"/>
            <w:vAlign w:val="center"/>
          </w:tcPr>
          <w:p w14:paraId="6B5478EA">
            <w:pPr>
              <w:spacing w:line="240" w:lineRule="atLeast"/>
              <w:jc w:val="center"/>
              <w:rPr>
                <w:sz w:val="24"/>
                <w:szCs w:val="24"/>
              </w:rPr>
            </w:pPr>
            <w:bookmarkStart w:id="0" w:name="_GoBack" w:colFirst="2" w:colLast="2"/>
            <w:r>
              <w:rPr>
                <w:rFonts w:hint="eastAsia"/>
                <w:sz w:val="24"/>
                <w:szCs w:val="24"/>
              </w:rPr>
              <w:t>1</w:t>
            </w:r>
          </w:p>
        </w:tc>
        <w:tc>
          <w:tcPr>
            <w:tcW w:w="1561" w:type="dxa"/>
            <w:tcBorders>
              <w:top w:val="single" w:color="auto" w:sz="4" w:space="0"/>
              <w:left w:val="single" w:color="auto" w:sz="4" w:space="0"/>
              <w:right w:val="single" w:color="auto" w:sz="4" w:space="0"/>
            </w:tcBorders>
            <w:shd w:val="clear" w:color="auto" w:fill="auto"/>
            <w:vAlign w:val="center"/>
          </w:tcPr>
          <w:p w14:paraId="3F9E8235">
            <w:pPr>
              <w:keepNext w:val="0"/>
              <w:keepLines w:val="0"/>
              <w:pageBreakBefore w:val="0"/>
              <w:widowControl w:val="0"/>
              <w:tabs>
                <w:tab w:val="left" w:pos="6915"/>
              </w:tabs>
              <w:kinsoku/>
              <w:topLinePunct w:val="0"/>
              <w:autoSpaceDE/>
              <w:autoSpaceDN/>
              <w:bidi w:val="0"/>
              <w:adjustRightInd w:val="0"/>
              <w:snapToGrid w:val="0"/>
              <w:spacing w:line="240" w:lineRule="auto"/>
              <w:jc w:val="center"/>
              <w:textAlignment w:val="auto"/>
              <w:rPr>
                <w:rFonts w:hint="default" w:eastAsiaTheme="minorEastAsia"/>
                <w:sz w:val="24"/>
                <w:szCs w:val="24"/>
                <w:lang w:val="en-US" w:eastAsia="zh-CN"/>
              </w:rPr>
            </w:pPr>
            <w:r>
              <w:rPr>
                <w:rFonts w:hint="default" w:ascii="Times New Roman" w:hAnsi="Times New Roman" w:eastAsia="宋体" w:cs="Times New Roman"/>
                <w:b w:val="0"/>
                <w:bCs w:val="0"/>
                <w:sz w:val="24"/>
                <w:szCs w:val="24"/>
                <w:shd w:val="clear" w:color="auto" w:fill="FFFFFF"/>
              </w:rPr>
              <w:t>图像处理</w:t>
            </w:r>
            <w:r>
              <w:rPr>
                <w:rFonts w:hint="default" w:ascii="Times New Roman" w:hAnsi="Times New Roman" w:eastAsia="宋体" w:cs="Times New Roman"/>
                <w:b w:val="0"/>
                <w:bCs w:val="0"/>
                <w:sz w:val="24"/>
                <w:szCs w:val="24"/>
                <w:shd w:val="clear" w:color="auto" w:fill="FFFFFF"/>
              </w:rPr>
              <w:br w:type="textWrapping"/>
            </w:r>
            <w:r>
              <w:rPr>
                <w:rFonts w:hint="default" w:ascii="Times New Roman" w:hAnsi="Times New Roman" w:eastAsia="宋体" w:cs="Times New Roman"/>
                <w:b w:val="0"/>
                <w:bCs w:val="0"/>
                <w:sz w:val="24"/>
                <w:szCs w:val="24"/>
                <w:shd w:val="clear" w:color="auto" w:fill="FFFFFF"/>
              </w:rPr>
              <w:t>服务器</w:t>
            </w:r>
          </w:p>
        </w:tc>
        <w:tc>
          <w:tcPr>
            <w:tcW w:w="5322" w:type="dxa"/>
            <w:vAlign w:val="center"/>
          </w:tcPr>
          <w:p w14:paraId="7A0EEA23">
            <w:pPr>
              <w:spacing w:line="240" w:lineRule="auto"/>
              <w:rPr>
                <w:rFonts w:hint="eastAsia" w:ascii="宋体" w:hAnsi="宋体"/>
                <w:b w:val="0"/>
                <w:bCs/>
                <w:sz w:val="24"/>
                <w:szCs w:val="24"/>
              </w:rPr>
            </w:pPr>
            <w:r>
              <w:rPr>
                <w:rFonts w:hint="eastAsia" w:ascii="宋体" w:hAnsi="宋体"/>
                <w:b w:val="0"/>
                <w:bCs/>
                <w:sz w:val="24"/>
                <w:szCs w:val="24"/>
              </w:rPr>
              <w:t>1、机箱：≥12个硬盘位，≥6U机架式结构；</w:t>
            </w:r>
          </w:p>
          <w:p w14:paraId="02BEC6BB">
            <w:pPr>
              <w:spacing w:line="240" w:lineRule="auto"/>
              <w:rPr>
                <w:rFonts w:hint="eastAsia" w:ascii="宋体" w:hAnsi="宋体"/>
                <w:b w:val="0"/>
                <w:bCs/>
                <w:sz w:val="24"/>
                <w:szCs w:val="24"/>
              </w:rPr>
            </w:pPr>
            <w:r>
              <w:rPr>
                <w:rFonts w:hint="eastAsia" w:ascii="宋体" w:hAnsi="宋体"/>
                <w:b w:val="0"/>
                <w:bCs/>
                <w:sz w:val="24"/>
                <w:szCs w:val="24"/>
              </w:rPr>
              <w:t>2、处理器：单颗24核心/48线程；主频3.0GHz</w:t>
            </w:r>
            <w:r>
              <w:rPr>
                <w:rFonts w:hint="eastAsia" w:ascii="宋体" w:hAnsi="宋体"/>
                <w:b w:val="0"/>
                <w:bCs/>
                <w:sz w:val="24"/>
                <w:szCs w:val="24"/>
                <w:lang w:eastAsia="zh-CN"/>
              </w:rPr>
              <w:t>；</w:t>
            </w:r>
            <w:r>
              <w:rPr>
                <w:rFonts w:hint="eastAsia" w:ascii="宋体" w:hAnsi="宋体"/>
                <w:b w:val="0"/>
                <w:bCs/>
                <w:sz w:val="24"/>
                <w:szCs w:val="24"/>
              </w:rPr>
              <w:t>缓存≥140M</w:t>
            </w:r>
            <w:r>
              <w:rPr>
                <w:rFonts w:hint="eastAsia" w:ascii="宋体" w:hAnsi="宋体"/>
                <w:b w:val="0"/>
                <w:bCs/>
                <w:sz w:val="24"/>
                <w:szCs w:val="24"/>
                <w:lang w:eastAsia="zh-CN"/>
              </w:rPr>
              <w:t>；</w:t>
            </w:r>
            <w:r>
              <w:rPr>
                <w:rFonts w:hint="eastAsia" w:ascii="宋体" w:hAnsi="宋体"/>
                <w:b w:val="0"/>
                <w:bCs/>
                <w:sz w:val="24"/>
                <w:szCs w:val="24"/>
              </w:rPr>
              <w:t>热设计功耗≤ 260W</w:t>
            </w:r>
            <w:r>
              <w:rPr>
                <w:rFonts w:hint="eastAsia" w:ascii="宋体" w:hAnsi="宋体"/>
                <w:b w:val="0"/>
                <w:bCs/>
                <w:sz w:val="24"/>
                <w:szCs w:val="24"/>
                <w:lang w:eastAsia="zh-CN"/>
              </w:rPr>
              <w:t>；</w:t>
            </w:r>
            <w:r>
              <w:rPr>
                <w:rFonts w:hint="eastAsia" w:ascii="宋体" w:hAnsi="宋体"/>
                <w:b w:val="0"/>
                <w:bCs/>
                <w:sz w:val="24"/>
                <w:szCs w:val="24"/>
              </w:rPr>
              <w:t>数量≥2颗；</w:t>
            </w:r>
          </w:p>
          <w:p w14:paraId="43C0EB9D">
            <w:pPr>
              <w:spacing w:line="240" w:lineRule="auto"/>
              <w:rPr>
                <w:rFonts w:hint="eastAsia" w:ascii="宋体" w:hAnsi="宋体" w:eastAsiaTheme="minorEastAsia"/>
                <w:b w:val="0"/>
                <w:bCs/>
                <w:sz w:val="24"/>
                <w:szCs w:val="24"/>
                <w:lang w:eastAsia="zh-CN"/>
              </w:rPr>
            </w:pPr>
            <w:r>
              <w:rPr>
                <w:rFonts w:hint="eastAsia" w:ascii="宋体" w:hAnsi="宋体"/>
                <w:b w:val="0"/>
                <w:bCs/>
                <w:sz w:val="24"/>
                <w:szCs w:val="24"/>
              </w:rPr>
              <w:t>3、内存：256GB DDR5 ECC服务器内存，频率≥6400MHz</w:t>
            </w:r>
            <w:r>
              <w:rPr>
                <w:rFonts w:hint="eastAsia" w:ascii="宋体" w:hAnsi="宋体"/>
                <w:b w:val="0"/>
                <w:bCs/>
                <w:sz w:val="24"/>
                <w:szCs w:val="24"/>
                <w:lang w:eastAsia="zh-CN"/>
              </w:rPr>
              <w:t>；</w:t>
            </w:r>
            <w:r>
              <w:rPr>
                <w:rFonts w:hint="eastAsia" w:ascii="宋体" w:hAnsi="宋体"/>
                <w:b w:val="0"/>
                <w:bCs/>
                <w:sz w:val="24"/>
                <w:szCs w:val="24"/>
              </w:rPr>
              <w:t>内存扩展最高可支持频率8000MHz</w:t>
            </w:r>
            <w:r>
              <w:rPr>
                <w:rFonts w:hint="eastAsia" w:ascii="宋体" w:hAnsi="宋体"/>
                <w:b w:val="0"/>
                <w:bCs/>
                <w:sz w:val="24"/>
                <w:szCs w:val="24"/>
                <w:lang w:eastAsia="zh-CN"/>
              </w:rPr>
              <w:t>；</w:t>
            </w:r>
          </w:p>
          <w:p w14:paraId="5FA71A1B">
            <w:pPr>
              <w:spacing w:line="240" w:lineRule="auto"/>
              <w:rPr>
                <w:rFonts w:hint="eastAsia" w:ascii="宋体" w:hAnsi="宋体"/>
                <w:b w:val="0"/>
                <w:bCs/>
                <w:sz w:val="24"/>
                <w:szCs w:val="24"/>
              </w:rPr>
            </w:pPr>
            <w:r>
              <w:rPr>
                <w:rFonts w:hint="eastAsia" w:ascii="宋体" w:hAnsi="宋体"/>
                <w:b w:val="0"/>
                <w:bCs/>
                <w:sz w:val="24"/>
                <w:szCs w:val="24"/>
              </w:rPr>
              <w:t>4、存储：带独立缓存的硬件RAID卡，缓存≥4GB</w:t>
            </w:r>
            <w:r>
              <w:rPr>
                <w:rFonts w:hint="eastAsia" w:ascii="宋体" w:hAnsi="宋体"/>
                <w:b w:val="0"/>
                <w:bCs/>
                <w:sz w:val="24"/>
                <w:szCs w:val="24"/>
                <w:lang w:eastAsia="zh-CN"/>
              </w:rPr>
              <w:t>；</w:t>
            </w:r>
            <w:r>
              <w:rPr>
                <w:rFonts w:hint="eastAsia" w:ascii="宋体" w:hAnsi="宋体"/>
                <w:b w:val="0"/>
                <w:bCs/>
                <w:sz w:val="24"/>
                <w:szCs w:val="24"/>
              </w:rPr>
              <w:t>容量为960GB热插拔固态硬盘，数量2块；容量为16TB的热插拔机械硬盘，数量2块；</w:t>
            </w:r>
          </w:p>
          <w:p w14:paraId="449B78BE">
            <w:pPr>
              <w:spacing w:line="240" w:lineRule="auto"/>
              <w:rPr>
                <w:rFonts w:hint="eastAsia" w:ascii="宋体" w:hAnsi="宋体" w:eastAsiaTheme="minorEastAsia"/>
                <w:b w:val="0"/>
                <w:bCs/>
                <w:sz w:val="24"/>
                <w:szCs w:val="24"/>
                <w:lang w:eastAsia="zh-CN"/>
              </w:rPr>
            </w:pPr>
            <w:r>
              <w:rPr>
                <w:rFonts w:hint="eastAsia" w:ascii="宋体" w:hAnsi="宋体"/>
                <w:b w:val="0"/>
                <w:bCs/>
                <w:sz w:val="24"/>
                <w:szCs w:val="24"/>
              </w:rPr>
              <w:t>5、PCI:≥2端口10/25Gbs以太网口，含多模光纤收发器；含8个计算卡位，支持≥8 卡600W双宽/三宽高功耗GPU</w:t>
            </w:r>
            <w:r>
              <w:rPr>
                <w:rFonts w:hint="eastAsia" w:ascii="宋体" w:hAnsi="宋体"/>
                <w:b w:val="0"/>
                <w:bCs/>
                <w:sz w:val="24"/>
                <w:szCs w:val="24"/>
                <w:lang w:eastAsia="zh-CN"/>
              </w:rPr>
              <w:t>；</w:t>
            </w:r>
          </w:p>
          <w:p w14:paraId="48F6A65C">
            <w:pPr>
              <w:spacing w:line="240" w:lineRule="auto"/>
              <w:rPr>
                <w:rFonts w:hint="eastAsia" w:ascii="宋体" w:hAnsi="宋体"/>
                <w:b w:val="0"/>
                <w:bCs/>
                <w:sz w:val="24"/>
                <w:szCs w:val="24"/>
              </w:rPr>
            </w:pPr>
            <w:r>
              <w:rPr>
                <w:rFonts w:hint="eastAsia" w:ascii="宋体" w:hAnsi="宋体"/>
                <w:b w:val="0"/>
                <w:bCs/>
                <w:sz w:val="24"/>
                <w:szCs w:val="24"/>
              </w:rPr>
              <w:t>6、计算卡：≥PC</w:t>
            </w:r>
            <w:r>
              <w:rPr>
                <w:rFonts w:hint="eastAsia" w:ascii="宋体" w:hAnsi="宋体"/>
                <w:b w:val="0"/>
                <w:bCs/>
                <w:sz w:val="24"/>
                <w:szCs w:val="24"/>
                <w:lang w:val="en-US" w:eastAsia="zh-CN"/>
              </w:rPr>
              <w:t>I</w:t>
            </w:r>
            <w:r>
              <w:rPr>
                <w:rFonts w:hint="eastAsia" w:ascii="宋体" w:hAnsi="宋体"/>
                <w:b w:val="0"/>
                <w:bCs/>
                <w:sz w:val="24"/>
                <w:szCs w:val="24"/>
              </w:rPr>
              <w:t>e 5.0接口，单卡不低于48GB的GDDR7显存；带宽不低于1300GB/s</w:t>
            </w:r>
            <w:r>
              <w:rPr>
                <w:rFonts w:hint="eastAsia" w:ascii="宋体" w:hAnsi="宋体"/>
                <w:b w:val="0"/>
                <w:bCs/>
                <w:sz w:val="24"/>
                <w:szCs w:val="24"/>
                <w:lang w:eastAsia="zh-CN"/>
              </w:rPr>
              <w:t>；</w:t>
            </w:r>
            <w:r>
              <w:rPr>
                <w:rFonts w:hint="eastAsia" w:ascii="宋体" w:hAnsi="宋体"/>
                <w:b w:val="0"/>
                <w:bCs/>
                <w:sz w:val="24"/>
                <w:szCs w:val="24"/>
              </w:rPr>
              <w:t>TDP热功耗≤300W,单卡FP32理论计算能力不低于60TF</w:t>
            </w:r>
            <w:r>
              <w:rPr>
                <w:rFonts w:hint="eastAsia" w:ascii="宋体" w:hAnsi="宋体"/>
                <w:b w:val="0"/>
                <w:bCs/>
                <w:sz w:val="24"/>
                <w:szCs w:val="24"/>
                <w:lang w:val="en-US" w:eastAsia="zh-CN"/>
              </w:rPr>
              <w:t>l</w:t>
            </w:r>
            <w:r>
              <w:rPr>
                <w:rFonts w:hint="eastAsia" w:ascii="宋体" w:hAnsi="宋体"/>
                <w:b w:val="0"/>
                <w:bCs/>
                <w:sz w:val="24"/>
                <w:szCs w:val="24"/>
              </w:rPr>
              <w:t>ops</w:t>
            </w:r>
            <w:r>
              <w:rPr>
                <w:rFonts w:hint="eastAsia" w:ascii="宋体" w:hAnsi="宋体"/>
                <w:b w:val="0"/>
                <w:bCs/>
                <w:sz w:val="24"/>
                <w:szCs w:val="24"/>
                <w:lang w:eastAsia="zh-CN"/>
              </w:rPr>
              <w:t>，</w:t>
            </w:r>
            <w:r>
              <w:rPr>
                <w:rFonts w:hint="eastAsia" w:ascii="宋体" w:hAnsi="宋体"/>
                <w:b w:val="0"/>
                <w:bCs/>
                <w:sz w:val="24"/>
                <w:szCs w:val="24"/>
              </w:rPr>
              <w:t>核心数不低于14000</w:t>
            </w:r>
            <w:r>
              <w:rPr>
                <w:rFonts w:hint="eastAsia" w:ascii="宋体" w:hAnsi="宋体"/>
                <w:b w:val="0"/>
                <w:bCs/>
                <w:sz w:val="24"/>
                <w:szCs w:val="24"/>
                <w:lang w:eastAsia="zh-CN"/>
              </w:rPr>
              <w:t>，</w:t>
            </w:r>
            <w:r>
              <w:rPr>
                <w:rFonts w:hint="eastAsia" w:ascii="宋体" w:hAnsi="宋体"/>
                <w:b w:val="0"/>
                <w:bCs/>
                <w:sz w:val="24"/>
                <w:szCs w:val="24"/>
              </w:rPr>
              <w:t>数量不少于3块；</w:t>
            </w:r>
          </w:p>
          <w:p w14:paraId="58A75F25">
            <w:pPr>
              <w:spacing w:line="240" w:lineRule="auto"/>
              <w:rPr>
                <w:rFonts w:hint="eastAsia" w:ascii="宋体" w:hAnsi="宋体"/>
                <w:b w:val="0"/>
                <w:bCs/>
                <w:sz w:val="24"/>
                <w:szCs w:val="24"/>
              </w:rPr>
            </w:pPr>
            <w:r>
              <w:rPr>
                <w:rFonts w:hint="eastAsia" w:ascii="宋体" w:hAnsi="宋体"/>
                <w:b w:val="0"/>
                <w:bCs/>
                <w:sz w:val="24"/>
                <w:szCs w:val="24"/>
              </w:rPr>
              <w:t>7、电源：功率≥2700W冗余电源，支持N+N模式，数量≥6个；</w:t>
            </w:r>
          </w:p>
          <w:p w14:paraId="0CF7E5A8">
            <w:pPr>
              <w:spacing w:line="240" w:lineRule="auto"/>
              <w:rPr>
                <w:rFonts w:hint="eastAsia"/>
                <w:bCs/>
                <w:sz w:val="24"/>
                <w:szCs w:val="24"/>
              </w:rPr>
            </w:pPr>
            <w:r>
              <w:rPr>
                <w:rFonts w:hint="eastAsia" w:ascii="宋体" w:hAnsi="宋体"/>
                <w:b w:val="0"/>
                <w:bCs/>
                <w:sz w:val="24"/>
                <w:szCs w:val="24"/>
              </w:rPr>
              <w:t>8、质保及服务：主机头7年质保及技术支持服务。</w:t>
            </w:r>
          </w:p>
        </w:tc>
        <w:tc>
          <w:tcPr>
            <w:tcW w:w="1201" w:type="dxa"/>
            <w:vAlign w:val="center"/>
          </w:tcPr>
          <w:p w14:paraId="3494B2B7">
            <w:pPr>
              <w:spacing w:line="240" w:lineRule="atLeast"/>
              <w:jc w:val="center"/>
              <w:rPr>
                <w:sz w:val="24"/>
                <w:szCs w:val="24"/>
              </w:rPr>
            </w:pPr>
          </w:p>
        </w:tc>
        <w:tc>
          <w:tcPr>
            <w:tcW w:w="992" w:type="dxa"/>
            <w:vAlign w:val="center"/>
          </w:tcPr>
          <w:p w14:paraId="4AB5E24F">
            <w:pPr>
              <w:spacing w:line="240" w:lineRule="atLeast"/>
              <w:jc w:val="center"/>
              <w:rPr>
                <w:sz w:val="24"/>
                <w:szCs w:val="24"/>
              </w:rPr>
            </w:pPr>
          </w:p>
        </w:tc>
      </w:tr>
      <w:tr w14:paraId="41B7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705" w:type="dxa"/>
            <w:vAlign w:val="center"/>
          </w:tcPr>
          <w:p w14:paraId="1FB5921D">
            <w:pPr>
              <w:spacing w:line="240" w:lineRule="atLeast"/>
              <w:jc w:val="center"/>
              <w:rPr>
                <w:sz w:val="24"/>
                <w:szCs w:val="24"/>
              </w:rPr>
            </w:pPr>
            <w:r>
              <w:rPr>
                <w:sz w:val="24"/>
                <w:szCs w:val="24"/>
              </w:rPr>
              <w:t>2</w:t>
            </w:r>
          </w:p>
        </w:tc>
        <w:tc>
          <w:tcPr>
            <w:tcW w:w="1561" w:type="dxa"/>
            <w:tcBorders>
              <w:top w:val="single" w:color="auto" w:sz="4" w:space="0"/>
              <w:left w:val="single" w:color="auto" w:sz="4" w:space="0"/>
              <w:bottom w:val="single" w:color="auto" w:sz="4" w:space="0"/>
              <w:right w:val="single" w:color="auto" w:sz="4" w:space="0"/>
            </w:tcBorders>
            <w:shd w:val="clear" w:color="auto" w:fill="auto"/>
            <w:vAlign w:val="center"/>
          </w:tcPr>
          <w:p w14:paraId="6E87ED25">
            <w:pPr>
              <w:widowControl/>
              <w:spacing w:line="240" w:lineRule="atLeast"/>
              <w:jc w:val="center"/>
              <w:rPr>
                <w:sz w:val="24"/>
                <w:szCs w:val="24"/>
              </w:rPr>
            </w:pPr>
            <w:r>
              <w:rPr>
                <w:rFonts w:hint="eastAsia"/>
                <w:sz w:val="24"/>
                <w:szCs w:val="24"/>
              </w:rPr>
              <w:t>商务条款</w:t>
            </w:r>
          </w:p>
        </w:tc>
        <w:tc>
          <w:tcPr>
            <w:tcW w:w="5322" w:type="dxa"/>
            <w:tcBorders>
              <w:top w:val="single" w:color="auto" w:sz="4" w:space="0"/>
              <w:left w:val="nil"/>
              <w:bottom w:val="single" w:color="auto" w:sz="4" w:space="0"/>
              <w:right w:val="single" w:color="auto" w:sz="4" w:space="0"/>
            </w:tcBorders>
            <w:shd w:val="clear" w:color="auto" w:fill="auto"/>
            <w:vAlign w:val="center"/>
          </w:tcPr>
          <w:p w14:paraId="073E20F6">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交货期：合同签订后4周内完成交货</w:t>
            </w:r>
          </w:p>
          <w:p w14:paraId="6CF40488">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交付进度：一次性交付</w:t>
            </w:r>
          </w:p>
          <w:p w14:paraId="27061AA0">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付款方式：货到验收后付款</w:t>
            </w:r>
          </w:p>
          <w:p w14:paraId="2A3D66CB">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验收指标及验收要求：供货商提供产品合格证</w:t>
            </w:r>
          </w:p>
          <w:p w14:paraId="633449D2">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保修及售后服务：7年保修服务</w:t>
            </w:r>
          </w:p>
          <w:p w14:paraId="444892EC">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其它：需提供营业执照复印件；须提供产品厂商出具的原厂项目授权函及服务承诺文件并加盖原厂公章； 提供配套现场环境部署和互联所需的光纤、网线、电源线、等配件；提供原厂全生命周期数据拯救服务。</w:t>
            </w:r>
          </w:p>
        </w:tc>
        <w:tc>
          <w:tcPr>
            <w:tcW w:w="1201" w:type="dxa"/>
            <w:vAlign w:val="center"/>
          </w:tcPr>
          <w:p w14:paraId="5D3E4FB5">
            <w:pPr>
              <w:spacing w:line="240" w:lineRule="atLeast"/>
              <w:jc w:val="center"/>
              <w:rPr>
                <w:sz w:val="24"/>
                <w:szCs w:val="24"/>
              </w:rPr>
            </w:pPr>
          </w:p>
        </w:tc>
        <w:tc>
          <w:tcPr>
            <w:tcW w:w="992" w:type="dxa"/>
            <w:vAlign w:val="center"/>
          </w:tcPr>
          <w:p w14:paraId="643744E8">
            <w:pPr>
              <w:spacing w:line="240" w:lineRule="atLeast"/>
              <w:jc w:val="center"/>
              <w:rPr>
                <w:sz w:val="24"/>
                <w:szCs w:val="24"/>
              </w:rPr>
            </w:pPr>
          </w:p>
        </w:tc>
      </w:tr>
      <w:bookmarkEnd w:id="0"/>
    </w:tbl>
    <w:p w14:paraId="47969C03">
      <w:pPr>
        <w:wordWrap w:val="0"/>
        <w:ind w:right="840"/>
        <w:jc w:val="right"/>
        <w:rPr>
          <w:rFonts w:hint="eastAsia"/>
          <w:sz w:val="24"/>
          <w:szCs w:val="24"/>
          <w:lang w:val="en-US" w:eastAsia="zh-CN"/>
        </w:rPr>
      </w:pPr>
      <w:r>
        <w:rPr>
          <w:rFonts w:hint="eastAsia"/>
          <w:sz w:val="24"/>
          <w:szCs w:val="24"/>
          <w:lang w:val="en-US" w:eastAsia="zh-CN"/>
        </w:rPr>
        <w:t xml:space="preserve"> </w:t>
      </w:r>
    </w:p>
    <w:p w14:paraId="2A951803">
      <w:pPr>
        <w:wordWrap w:val="0"/>
        <w:ind w:right="840"/>
        <w:jc w:val="right"/>
        <w:rPr>
          <w:rFonts w:hint="eastAsia"/>
          <w:sz w:val="24"/>
          <w:szCs w:val="24"/>
          <w:lang w:val="en-US" w:eastAsia="zh-CN"/>
        </w:rPr>
      </w:pPr>
    </w:p>
    <w:p w14:paraId="00BC0982">
      <w:pPr>
        <w:wordWrap w:val="0"/>
        <w:ind w:right="840"/>
        <w:jc w:val="right"/>
        <w:rPr>
          <w:rFonts w:hint="default" w:eastAsiaTheme="minorEastAsia"/>
          <w:lang w:val="en-US" w:eastAsia="zh-CN"/>
        </w:rPr>
      </w:pPr>
      <w:r>
        <w:rPr>
          <w:rFonts w:hint="eastAsia"/>
          <w:sz w:val="24"/>
          <w:szCs w:val="24"/>
          <w:lang w:val="en-US" w:eastAsia="zh-CN"/>
        </w:rPr>
        <w:t xml:space="preserve"> </w:t>
      </w:r>
      <w:r>
        <w:rPr>
          <w:sz w:val="24"/>
          <w:szCs w:val="24"/>
        </w:rPr>
        <w:t>公司名称</w:t>
      </w:r>
      <w:r>
        <w:rPr>
          <w:rFonts w:hint="eastAsia"/>
          <w:sz w:val="24"/>
          <w:szCs w:val="24"/>
        </w:rPr>
        <w:t>（盖章）：</w:t>
      </w:r>
      <w:r>
        <w:rPr>
          <w:rFonts w:hint="eastAsia"/>
          <w:sz w:val="24"/>
          <w:szCs w:val="24"/>
        </w:rPr>
        <w:br w:type="textWrapping"/>
      </w:r>
      <w:r>
        <w:rPr>
          <w:sz w:val="24"/>
          <w:szCs w:val="24"/>
        </w:rPr>
        <w:t>日期</w:t>
      </w:r>
      <w:r>
        <w:rPr>
          <w:rFonts w:hint="eastAsia"/>
          <w:sz w:val="24"/>
          <w:szCs w:val="24"/>
        </w:rPr>
        <w:t>：</w:t>
      </w:r>
      <w:r>
        <w:rPr>
          <w:rFonts w:hint="eastAsia"/>
          <w:sz w:val="24"/>
          <w:szCs w:val="24"/>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F6C24"/>
    <w:rsid w:val="0238268F"/>
    <w:rsid w:val="04EF6C24"/>
    <w:rsid w:val="0FAA3CAE"/>
    <w:rsid w:val="170D4E5D"/>
    <w:rsid w:val="2D8C5ECA"/>
    <w:rsid w:val="361A1118"/>
    <w:rsid w:val="38C84348"/>
    <w:rsid w:val="3FBA1C74"/>
    <w:rsid w:val="5E80401C"/>
    <w:rsid w:val="60854C98"/>
    <w:rsid w:val="7DDE6C50"/>
    <w:rsid w:val="7EF22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459</Words>
  <Characters>568</Characters>
  <Lines>0</Lines>
  <Paragraphs>0</Paragraphs>
  <TotalTime>0</TotalTime>
  <ScaleCrop>false</ScaleCrop>
  <LinksUpToDate>false</LinksUpToDate>
  <CharactersWithSpaces>579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2026-07-17T08:11:00Z</dcterms:created>
  <dc:creator>DELL</dc:creator>
  <cp:lastModifiedBy>王小宇</cp:lastModifiedBy>
  <dcterms:modified xsi:type="dcterms:W3CDTF">2026-10-08T09:05:41Z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591BF25C9AAF4D10A8900A039D7A67BB_13</vt:lpwstr>
  </property>
  <property fmtid="{D5CDD505-2E9C-101B-9397-08002B2CF9AE}" pid="4" name="KSOTemplateDocerSaveRecord">
    <vt:lpwstr>eyJoZGlkIjoiN2RmNGQ2MDc0ZGFiNmIyNjNmMmJiNzcxMzg1OWQzY2YiLCJ1c2VySWQiOiIxNzkyMjQ5NTEzIn0=</vt:lpwstr>
  </property>
</Properties>
</file>