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C0F7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AB8F0AA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73F56D57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2166D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29709CA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6036FB8D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385D293D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6903DAE8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53F1D6A3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7FC41BA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2A942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00FAC5DA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F84E21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束团长度测量系统前端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tbl>
            <w:tblPr>
              <w:tblStyle w:val="6"/>
              <w:tblW w:w="494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4"/>
              <w:gridCol w:w="660"/>
              <w:gridCol w:w="1453"/>
              <w:gridCol w:w="1432"/>
              <w:gridCol w:w="340"/>
              <w:gridCol w:w="341"/>
            </w:tblGrid>
            <w:tr w14:paraId="43FC3D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Align w:val="center"/>
                </w:tcPr>
                <w:p w14:paraId="17E32291">
                  <w:pPr>
                    <w:widowControl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功能部件</w:t>
                  </w:r>
                </w:p>
              </w:tc>
              <w:tc>
                <w:tcPr>
                  <w:tcW w:w="660" w:type="dxa"/>
                  <w:vAlign w:val="center"/>
                </w:tcPr>
                <w:p w14:paraId="7FB1E435">
                  <w:pPr>
                    <w:widowControl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验收指标</w:t>
                  </w:r>
                </w:p>
              </w:tc>
              <w:tc>
                <w:tcPr>
                  <w:tcW w:w="1453" w:type="dxa"/>
                  <w:vAlign w:val="center"/>
                </w:tcPr>
                <w:p w14:paraId="668CD168">
                  <w:pPr>
                    <w:widowControl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组件</w:t>
                  </w:r>
                </w:p>
              </w:tc>
              <w:tc>
                <w:tcPr>
                  <w:tcW w:w="1432" w:type="dxa"/>
                  <w:vAlign w:val="center"/>
                </w:tcPr>
                <w:p w14:paraId="434A66A9">
                  <w:pPr>
                    <w:widowControl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主要参数</w:t>
                  </w:r>
                </w:p>
              </w:tc>
              <w:tc>
                <w:tcPr>
                  <w:tcW w:w="340" w:type="dxa"/>
                  <w:vAlign w:val="center"/>
                </w:tcPr>
                <w:p w14:paraId="1851401B">
                  <w:pPr>
                    <w:widowControl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单位</w:t>
                  </w:r>
                </w:p>
              </w:tc>
              <w:tc>
                <w:tcPr>
                  <w:tcW w:w="341" w:type="dxa"/>
                  <w:vAlign w:val="center"/>
                </w:tcPr>
                <w:p w14:paraId="00151611">
                  <w:pPr>
                    <w:widowControl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数量</w:t>
                  </w:r>
                </w:p>
              </w:tc>
            </w:tr>
            <w:tr w14:paraId="4F12E6C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4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3EDEA0F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泵站组件及真空管道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7DD18B4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真空度好于5×10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-7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Pa；</w:t>
                  </w:r>
                </w:p>
                <w:p w14:paraId="6ADA00E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漏率要求≤5×10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-11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mbar·L/s；</w:t>
                  </w:r>
                </w:p>
                <w:p w14:paraId="4862A35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0B205A2F">
                  <w:pPr>
                    <w:widowControl/>
                    <w:jc w:val="center"/>
                  </w:pPr>
                  <w:r>
                    <w:rPr>
                      <w:szCs w:val="21"/>
                    </w:rPr>
                    <w:t>波纹管</w:t>
                  </w:r>
                </w:p>
              </w:tc>
              <w:tc>
                <w:tcPr>
                  <w:tcW w:w="1432" w:type="dxa"/>
                  <w:vAlign w:val="center"/>
                </w:tcPr>
                <w:p w14:paraId="733064EF">
                  <w:pPr>
                    <w:widowControl/>
                    <w:jc w:val="center"/>
                    <w:rPr>
                      <w:b/>
                      <w:bCs/>
                      <w:sz w:val="28"/>
                      <w:szCs w:val="32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上下游法兰CF63</w:t>
                  </w:r>
                </w:p>
              </w:tc>
              <w:tc>
                <w:tcPr>
                  <w:tcW w:w="340" w:type="dxa"/>
                  <w:vAlign w:val="center"/>
                </w:tcPr>
                <w:p w14:paraId="229D16F1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7F85E799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</w:tr>
            <w:tr w14:paraId="0781AD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232CF0A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0E1940F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79DEE939">
                  <w:pPr>
                    <w:widowControl/>
                    <w:jc w:val="center"/>
                  </w:pPr>
                  <w:r>
                    <w:t>真空管道</w:t>
                  </w:r>
                </w:p>
              </w:tc>
              <w:tc>
                <w:tcPr>
                  <w:tcW w:w="1432" w:type="dxa"/>
                  <w:vAlign w:val="center"/>
                </w:tcPr>
                <w:p w14:paraId="77A61C33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真空度好于5×10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-7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Pa；漏率要求≤5×10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-11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mbar·L/s；管道长度＞1415mm；内径63±1mm</w:t>
                  </w:r>
                </w:p>
              </w:tc>
              <w:tc>
                <w:tcPr>
                  <w:tcW w:w="340" w:type="dxa"/>
                  <w:vAlign w:val="center"/>
                </w:tcPr>
                <w:p w14:paraId="3A94D154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7A2F66A4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796511E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14F152E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0906BF4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62E44887">
                  <w:pPr>
                    <w:widowControl/>
                    <w:jc w:val="center"/>
                  </w:pPr>
                  <w:r>
                    <w:t>变径管道</w:t>
                  </w:r>
                </w:p>
              </w:tc>
              <w:tc>
                <w:tcPr>
                  <w:tcW w:w="1432" w:type="dxa"/>
                  <w:vAlign w:val="center"/>
                </w:tcPr>
                <w:p w14:paraId="6ABF3F0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上游法兰CF35；内径由35±1 mm变化至63±1mm</w:t>
                  </w:r>
                </w:p>
              </w:tc>
              <w:tc>
                <w:tcPr>
                  <w:tcW w:w="340" w:type="dxa"/>
                  <w:vAlign w:val="center"/>
                </w:tcPr>
                <w:p w14:paraId="45E2D806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2A863326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50DEDE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356C56E8">
                  <w:pPr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184EDE8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24BB5ECC">
                  <w:pPr>
                    <w:widowControl/>
                    <w:jc w:val="center"/>
                  </w:pPr>
                  <w:r>
                    <w:t>离子泵</w:t>
                  </w:r>
                </w:p>
              </w:tc>
              <w:tc>
                <w:tcPr>
                  <w:tcW w:w="1432" w:type="dxa"/>
                  <w:vAlign w:val="center"/>
                </w:tcPr>
                <w:p w14:paraId="433080B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安装于低能光子光闸和白光荧光靶系统下方</w:t>
                  </w:r>
                </w:p>
              </w:tc>
              <w:tc>
                <w:tcPr>
                  <w:tcW w:w="340" w:type="dxa"/>
                  <w:vAlign w:val="center"/>
                </w:tcPr>
                <w:p w14:paraId="36C6C6B2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02C168D1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</w:tr>
            <w:tr w14:paraId="7DE115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1112BC39">
                  <w:pPr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16CB817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18338DC0">
                  <w:pPr>
                    <w:widowControl/>
                    <w:jc w:val="center"/>
                  </w:pPr>
                  <w:r>
                    <w:t>管路支架</w:t>
                  </w:r>
                </w:p>
              </w:tc>
              <w:tc>
                <w:tcPr>
                  <w:tcW w:w="1432" w:type="dxa"/>
                  <w:vAlign w:val="center"/>
                </w:tcPr>
                <w:p w14:paraId="0CD1C37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/</w:t>
                  </w:r>
                </w:p>
              </w:tc>
              <w:tc>
                <w:tcPr>
                  <w:tcW w:w="340" w:type="dxa"/>
                  <w:vAlign w:val="center"/>
                </w:tcPr>
                <w:p w14:paraId="66444EFF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65977143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266594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3EFDA4E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低能光子光闸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23ACA94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真空部分纵向尺寸（法兰到法兰，不包含支架）≤450 mm；</w:t>
                  </w:r>
                </w:p>
                <w:p w14:paraId="31E6134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真空度好于5×10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-7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Pa；</w:t>
                  </w:r>
                </w:p>
                <w:p w14:paraId="627F785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漏率要求≤5×10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-11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mbar·L/s；</w:t>
                  </w:r>
                </w:p>
                <w:p w14:paraId="4F39909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6E6D57B5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真空腔体</w:t>
                  </w:r>
                </w:p>
              </w:tc>
              <w:tc>
                <w:tcPr>
                  <w:tcW w:w="1432" w:type="dxa"/>
                  <w:vAlign w:val="center"/>
                </w:tcPr>
                <w:p w14:paraId="73CAACF1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</w:rPr>
                    <w:t>真空腔体纵向尺寸（法兰到法兰）≤450 mm，上下游法兰CF63，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漏率≤5×10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 xml:space="preserve">-11 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</w:t>
                  </w:r>
                </w:p>
              </w:tc>
              <w:tc>
                <w:tcPr>
                  <w:tcW w:w="340" w:type="dxa"/>
                  <w:vAlign w:val="center"/>
                </w:tcPr>
                <w:p w14:paraId="415992DC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件</w:t>
                  </w:r>
                </w:p>
              </w:tc>
              <w:tc>
                <w:tcPr>
                  <w:tcW w:w="341" w:type="dxa"/>
                  <w:vAlign w:val="center"/>
                </w:tcPr>
                <w:p w14:paraId="2463DEC3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649369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21F89B9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5976668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2E47D4A9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挡光器</w:t>
                  </w:r>
                </w:p>
              </w:tc>
              <w:tc>
                <w:tcPr>
                  <w:tcW w:w="1432" w:type="dxa"/>
                  <w:vAlign w:val="center"/>
                </w:tcPr>
                <w:p w14:paraId="14B610C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挡光块尺寸可完全覆盖真空管道，通光孔径φ≥63 mm，驱动方式为气动</w:t>
                  </w:r>
                </w:p>
              </w:tc>
              <w:tc>
                <w:tcPr>
                  <w:tcW w:w="340" w:type="dxa"/>
                  <w:vAlign w:val="center"/>
                </w:tcPr>
                <w:p w14:paraId="27AEF478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7DE56653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18F4A4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05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06555DF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14034EF0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5DF7FE1D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水冷系统</w:t>
                  </w:r>
                </w:p>
              </w:tc>
              <w:tc>
                <w:tcPr>
                  <w:tcW w:w="1432" w:type="dxa"/>
                  <w:vAlign w:val="center"/>
                </w:tcPr>
                <w:p w14:paraId="0DDC8FD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水冷冷却通道数量为1，真空内无水道焊接结构，温度传感器数量为2，提供冷却水入水及出水温度</w:t>
                  </w:r>
                </w:p>
              </w:tc>
              <w:tc>
                <w:tcPr>
                  <w:tcW w:w="340" w:type="dxa"/>
                  <w:vAlign w:val="center"/>
                </w:tcPr>
                <w:p w14:paraId="61868411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00856808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4C60DE3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7C688791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5125BF1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3020F63A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支架</w:t>
                  </w:r>
                </w:p>
              </w:tc>
              <w:tc>
                <w:tcPr>
                  <w:tcW w:w="1432" w:type="dxa"/>
                  <w:vAlign w:val="center"/>
                </w:tcPr>
                <w:p w14:paraId="7B92E83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/</w:t>
                  </w:r>
                </w:p>
              </w:tc>
              <w:tc>
                <w:tcPr>
                  <w:tcW w:w="340" w:type="dxa"/>
                  <w:vAlign w:val="center"/>
                </w:tcPr>
                <w:p w14:paraId="4DE4257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447EB7E0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0FE0C22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3B390B7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安全光闸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167AA6C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7A5C2CFA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腔体</w:t>
                  </w:r>
                </w:p>
              </w:tc>
              <w:tc>
                <w:tcPr>
                  <w:tcW w:w="1432" w:type="dxa"/>
                  <w:vAlign w:val="center"/>
                </w:tcPr>
                <w:p w14:paraId="3D365E1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</w:rPr>
                    <w:t>腔体纵向尺寸（法兰到法兰）≤500 mm</w:t>
                  </w:r>
                </w:p>
              </w:tc>
              <w:tc>
                <w:tcPr>
                  <w:tcW w:w="340" w:type="dxa"/>
                  <w:vAlign w:val="center"/>
                </w:tcPr>
                <w:p w14:paraId="69C582EE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件</w:t>
                  </w:r>
                </w:p>
              </w:tc>
              <w:tc>
                <w:tcPr>
                  <w:tcW w:w="341" w:type="dxa"/>
                  <w:vAlign w:val="center"/>
                </w:tcPr>
                <w:p w14:paraId="593CE317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03C129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3C84E8A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51DDEEA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4A19B8BD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挡光器</w:t>
                  </w:r>
                </w:p>
              </w:tc>
              <w:tc>
                <w:tcPr>
                  <w:tcW w:w="1432" w:type="dxa"/>
                  <w:vAlign w:val="center"/>
                </w:tcPr>
                <w:p w14:paraId="57D1015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挡光块尺寸可完全覆盖光束管道，通光孔径φ≥150 mm，驱动方式为气动</w:t>
                  </w:r>
                </w:p>
              </w:tc>
              <w:tc>
                <w:tcPr>
                  <w:tcW w:w="340" w:type="dxa"/>
                  <w:vAlign w:val="center"/>
                </w:tcPr>
                <w:p w14:paraId="082DB99B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5D3635F7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0639E8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246525B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5764256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37FCF242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支架</w:t>
                  </w:r>
                </w:p>
              </w:tc>
              <w:tc>
                <w:tcPr>
                  <w:tcW w:w="1432" w:type="dxa"/>
                  <w:vAlign w:val="center"/>
                </w:tcPr>
                <w:p w14:paraId="7DE6AD2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/</w:t>
                  </w:r>
                </w:p>
              </w:tc>
              <w:tc>
                <w:tcPr>
                  <w:tcW w:w="340" w:type="dxa"/>
                  <w:vAlign w:val="center"/>
                </w:tcPr>
                <w:p w14:paraId="158CE56B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5949FB48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30856C8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9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76AA8C6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白光荧光靶系统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07D9AC0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真空部分纵向尺寸（法兰到法兰，不包含支架）</w:t>
                  </w:r>
                </w:p>
                <w:p w14:paraId="44AA5E2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≤300 mm；</w:t>
                  </w:r>
                </w:p>
                <w:p w14:paraId="56EA68B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真空度好于5×10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-7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Pa；</w:t>
                  </w:r>
                </w:p>
                <w:p w14:paraId="79C0F67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漏率要求≤5×10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-11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mbar·L/s；</w:t>
                  </w:r>
                </w:p>
                <w:p w14:paraId="7ABB60C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准直精度：±0.1mm；</w:t>
                  </w:r>
                </w:p>
                <w:p w14:paraId="017DC68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szCs w:val="21"/>
                    </w:rPr>
                    <w:t>靶片运动重复定位精度：≤0.1mm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51362772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荧光靶</w:t>
                  </w:r>
                </w:p>
              </w:tc>
              <w:tc>
                <w:tcPr>
                  <w:tcW w:w="1432" w:type="dxa"/>
                  <w:vAlign w:val="center"/>
                </w:tcPr>
                <w:p w14:paraId="25942AAA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45°安装，靶片尺寸不小于55×78 mm</w:t>
                  </w:r>
                </w:p>
              </w:tc>
              <w:tc>
                <w:tcPr>
                  <w:tcW w:w="340" w:type="dxa"/>
                  <w:vAlign w:val="center"/>
                </w:tcPr>
                <w:p w14:paraId="4035906D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61F2892D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6032FB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3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09A2119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2989F326">
                  <w:pPr>
                    <w:widowControl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2C41C71B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真空腔体</w:t>
                  </w:r>
                </w:p>
              </w:tc>
              <w:tc>
                <w:tcPr>
                  <w:tcW w:w="1432" w:type="dxa"/>
                  <w:vAlign w:val="center"/>
                </w:tcPr>
                <w:p w14:paraId="72802987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 xml:space="preserve">纵向尺寸（法兰到法兰） 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≤</w:t>
                  </w:r>
                  <w:r>
                    <w:rPr>
                      <w:szCs w:val="21"/>
                    </w:rPr>
                    <w:t>300 mm，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漏率≤5×10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 xml:space="preserve">-11 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</w:t>
                  </w:r>
                </w:p>
              </w:tc>
              <w:tc>
                <w:tcPr>
                  <w:tcW w:w="340" w:type="dxa"/>
                  <w:vAlign w:val="center"/>
                </w:tcPr>
                <w:p w14:paraId="39C60E43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件</w:t>
                  </w:r>
                </w:p>
              </w:tc>
              <w:tc>
                <w:tcPr>
                  <w:tcW w:w="341" w:type="dxa"/>
                  <w:vAlign w:val="center"/>
                </w:tcPr>
                <w:p w14:paraId="7E1E01AB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106D2F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1EE54E3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5DF6228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469704EF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电控移动滑台</w:t>
                  </w:r>
                </w:p>
              </w:tc>
              <w:tc>
                <w:tcPr>
                  <w:tcW w:w="1432" w:type="dxa"/>
                  <w:vAlign w:val="center"/>
                </w:tcPr>
                <w:p w14:paraId="2AA51CA4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行程≥55mm，重复定位精度：≤0.1mm</w:t>
                  </w:r>
                </w:p>
              </w:tc>
              <w:tc>
                <w:tcPr>
                  <w:tcW w:w="340" w:type="dxa"/>
                  <w:vAlign w:val="center"/>
                </w:tcPr>
                <w:p w14:paraId="1B4894ED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4A85F74D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359C398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9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47C2068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798121E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69FEE2AD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CCD相机</w:t>
                  </w:r>
                </w:p>
              </w:tc>
              <w:tc>
                <w:tcPr>
                  <w:tcW w:w="1432" w:type="dxa"/>
                  <w:vAlign w:val="center"/>
                </w:tcPr>
                <w:p w14:paraId="724AEA93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分辨率：≥150万，接口：GigE</w:t>
                  </w:r>
                </w:p>
              </w:tc>
              <w:tc>
                <w:tcPr>
                  <w:tcW w:w="340" w:type="dxa"/>
                  <w:vAlign w:val="center"/>
                </w:tcPr>
                <w:p w14:paraId="3F16008A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台</w:t>
                  </w:r>
                </w:p>
              </w:tc>
              <w:tc>
                <w:tcPr>
                  <w:tcW w:w="341" w:type="dxa"/>
                  <w:vAlign w:val="center"/>
                </w:tcPr>
                <w:p w14:paraId="4A1F80C7">
                  <w:pPr>
                    <w:widowControl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</w:tr>
            <w:tr w14:paraId="73A083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45586EE0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传输光路组件——遮光管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6CA257F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2B16BC90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遮光管道</w:t>
                  </w:r>
                </w:p>
              </w:tc>
              <w:tc>
                <w:tcPr>
                  <w:tcW w:w="1432" w:type="dxa"/>
                  <w:vAlign w:val="center"/>
                </w:tcPr>
                <w:p w14:paraId="224C9B9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长度≥14000 mm（从第二反射镜镜箱到屏蔽墙外，包含设备长度），内径150±1mm</w:t>
                  </w:r>
                </w:p>
              </w:tc>
              <w:tc>
                <w:tcPr>
                  <w:tcW w:w="340" w:type="dxa"/>
                  <w:vAlign w:val="center"/>
                </w:tcPr>
                <w:p w14:paraId="6FF9709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4F61BD1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07D6DF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6FE99AD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6FE6B72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010DF751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支架</w:t>
                  </w:r>
                </w:p>
              </w:tc>
              <w:tc>
                <w:tcPr>
                  <w:tcW w:w="1432" w:type="dxa"/>
                  <w:vAlign w:val="center"/>
                </w:tcPr>
                <w:p w14:paraId="0FD59A4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/</w:t>
                  </w:r>
                </w:p>
              </w:tc>
              <w:tc>
                <w:tcPr>
                  <w:tcW w:w="340" w:type="dxa"/>
                  <w:vAlign w:val="center"/>
                </w:tcPr>
                <w:p w14:paraId="108D0E1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0E630581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0A9433F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595B14D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传输光路组件——第一反射镜系统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163B088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反射镜表面平面度好于</w:t>
                  </w:r>
                </w:p>
                <w:p w14:paraId="71C22C3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rFonts w:ascii="Cambria Math" w:hAnsi="Cambria Math" w:cs="Cambria Math"/>
                      <w:kern w:val="0"/>
                      <w:szCs w:val="21"/>
                      <w:shd w:val="clear" w:color="auto" w:fill="FFFFFF"/>
                    </w:rPr>
                    <w:t>𝜆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/10 at 632.8 nm；</w:t>
                  </w:r>
                </w:p>
                <w:p w14:paraId="4126C3F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高能光子吸收器真空腔纵向尺寸（法兰到法兰，不包含支架）≤220 mm；</w:t>
                  </w:r>
                </w:p>
                <w:p w14:paraId="0737FAE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真空度好于5×10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-7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Pa；</w:t>
                  </w:r>
                </w:p>
                <w:p w14:paraId="09A1172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漏率要求≤5×10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>-11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mbar·L/s；</w:t>
                  </w:r>
                </w:p>
                <w:p w14:paraId="04032073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07007C00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反射镜</w:t>
                  </w:r>
                </w:p>
              </w:tc>
              <w:tc>
                <w:tcPr>
                  <w:tcW w:w="1432" w:type="dxa"/>
                  <w:vAlign w:val="center"/>
                </w:tcPr>
                <w:p w14:paraId="38A1C38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反射镜材料为弥散铜，镜面尺寸≥70×100 mm，表面平面度好于</w:t>
                  </w:r>
                  <w:r>
                    <w:rPr>
                      <w:rFonts w:ascii="Cambria Math" w:hAnsi="Cambria Math" w:cs="Cambria Math"/>
                      <w:kern w:val="0"/>
                      <w:szCs w:val="21"/>
                      <w:shd w:val="clear" w:color="auto" w:fill="FFFFFF"/>
                    </w:rPr>
                    <w:t>𝜆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/10 at 632.8 nm</w:t>
                  </w:r>
                </w:p>
              </w:tc>
              <w:tc>
                <w:tcPr>
                  <w:tcW w:w="340" w:type="dxa"/>
                  <w:vAlign w:val="center"/>
                </w:tcPr>
                <w:p w14:paraId="30D6B603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341" w:type="dxa"/>
                  <w:vAlign w:val="center"/>
                </w:tcPr>
                <w:p w14:paraId="38114BC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4E4CB8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7299253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7835EDE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47F46380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反射镜真空腔</w:t>
                  </w:r>
                </w:p>
              </w:tc>
              <w:tc>
                <w:tcPr>
                  <w:tcW w:w="1432" w:type="dxa"/>
                  <w:vAlign w:val="center"/>
                </w:tcPr>
                <w:p w14:paraId="059A025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漏率≤5×10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 xml:space="preserve">-11 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</w:t>
                  </w:r>
                </w:p>
              </w:tc>
              <w:tc>
                <w:tcPr>
                  <w:tcW w:w="340" w:type="dxa"/>
                  <w:vAlign w:val="center"/>
                </w:tcPr>
                <w:p w14:paraId="0058791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341" w:type="dxa"/>
                  <w:vAlign w:val="center"/>
                </w:tcPr>
                <w:p w14:paraId="5D2ACEC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1FAC4F2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704B7AD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1AB597F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4394191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高能光子吸收器</w:t>
                  </w:r>
                </w:p>
              </w:tc>
              <w:tc>
                <w:tcPr>
                  <w:tcW w:w="1432" w:type="dxa"/>
                  <w:vAlign w:val="center"/>
                </w:tcPr>
                <w:p w14:paraId="2392E42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吸收器材料为弥散铜，挡块竖直方向尺寸6 mm ~ 8 mm</w:t>
                  </w:r>
                </w:p>
              </w:tc>
              <w:tc>
                <w:tcPr>
                  <w:tcW w:w="340" w:type="dxa"/>
                  <w:vAlign w:val="center"/>
                </w:tcPr>
                <w:p w14:paraId="554704A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208B6B9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3B4B16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05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3065ABA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4777757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4CE1645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高能光子吸收器真空腔</w:t>
                  </w:r>
                </w:p>
              </w:tc>
              <w:tc>
                <w:tcPr>
                  <w:tcW w:w="1432" w:type="dxa"/>
                  <w:vAlign w:val="center"/>
                </w:tcPr>
                <w:p w14:paraId="7DD333D8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真空腔体纵向尺寸（法兰到法兰）≤220 mm，漏率≤5×10</w:t>
                  </w:r>
                  <w:r>
                    <w:rPr>
                      <w:kern w:val="0"/>
                      <w:szCs w:val="21"/>
                      <w:shd w:val="clear" w:color="auto" w:fill="FFFFFF"/>
                      <w:vertAlign w:val="superscript"/>
                    </w:rPr>
                    <w:t xml:space="preserve">-11  </w:t>
                  </w:r>
                  <w:r>
                    <w:rPr>
                      <w:kern w:val="0"/>
                      <w:szCs w:val="21"/>
                      <w:shd w:val="clear" w:color="auto" w:fill="FFFFFF"/>
                    </w:rPr>
                    <w:t>mbar·L/s，真空腔体上下游均需配置波纹管</w:t>
                  </w:r>
                </w:p>
              </w:tc>
              <w:tc>
                <w:tcPr>
                  <w:tcW w:w="340" w:type="dxa"/>
                  <w:vAlign w:val="center"/>
                </w:tcPr>
                <w:p w14:paraId="2A78E84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341" w:type="dxa"/>
                  <w:vAlign w:val="center"/>
                </w:tcPr>
                <w:p w14:paraId="7B7464C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2CD8DA3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4AB7E2F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0B8BD62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0EA48D7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后端光子吸收器</w:t>
                  </w:r>
                </w:p>
              </w:tc>
              <w:tc>
                <w:tcPr>
                  <w:tcW w:w="1432" w:type="dxa"/>
                  <w:vAlign w:val="center"/>
                </w:tcPr>
                <w:p w14:paraId="59D4A1A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材料为铬锆铜，尺寸φ≥70mm</w:t>
                  </w:r>
                </w:p>
              </w:tc>
              <w:tc>
                <w:tcPr>
                  <w:tcW w:w="340" w:type="dxa"/>
                  <w:vAlign w:val="center"/>
                </w:tcPr>
                <w:p w14:paraId="4D4AEBD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4E47A02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4339CE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1637E06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78A864E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6F34909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观察窗</w:t>
                  </w:r>
                </w:p>
              </w:tc>
              <w:tc>
                <w:tcPr>
                  <w:tcW w:w="1432" w:type="dxa"/>
                  <w:vAlign w:val="center"/>
                </w:tcPr>
                <w:p w14:paraId="4E9BEF8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通光直径φ≥70 mm</w:t>
                  </w:r>
                </w:p>
              </w:tc>
              <w:tc>
                <w:tcPr>
                  <w:tcW w:w="340" w:type="dxa"/>
                  <w:vAlign w:val="center"/>
                </w:tcPr>
                <w:p w14:paraId="4F4220C8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36F07EB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0E2B3F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55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1BBCA1C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2E96C12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687C028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水冷系统</w:t>
                  </w:r>
                </w:p>
              </w:tc>
              <w:tc>
                <w:tcPr>
                  <w:tcW w:w="1432" w:type="dxa"/>
                  <w:vAlign w:val="center"/>
                </w:tcPr>
                <w:p w14:paraId="7879D253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rFonts w:hint="eastAsia"/>
                      <w:kern w:val="0"/>
                      <w:szCs w:val="21"/>
                      <w:shd w:val="clear" w:color="auto" w:fill="FFFFFF"/>
                    </w:rPr>
                    <w:t>水冷冷却通道数量为3，分别用于反射镜、高能光子吸收器和后端光子吸收器，温度传感器数量为6，提供冷却水入水及出水温度</w:t>
                  </w:r>
                </w:p>
              </w:tc>
              <w:tc>
                <w:tcPr>
                  <w:tcW w:w="340" w:type="dxa"/>
                  <w:vAlign w:val="center"/>
                </w:tcPr>
                <w:p w14:paraId="7486BFD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7079DD4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1B8AF6D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2C2CB620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4A53C3B0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0A871D8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支架</w:t>
                  </w:r>
                </w:p>
              </w:tc>
              <w:tc>
                <w:tcPr>
                  <w:tcW w:w="1432" w:type="dxa"/>
                  <w:vAlign w:val="center"/>
                </w:tcPr>
                <w:p w14:paraId="7C841DF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/</w:t>
                  </w:r>
                </w:p>
              </w:tc>
              <w:tc>
                <w:tcPr>
                  <w:tcW w:w="340" w:type="dxa"/>
                  <w:vAlign w:val="center"/>
                </w:tcPr>
                <w:p w14:paraId="737EF588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689E4A08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1D25678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6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3D2C5918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传输光路组件——第二反射镜系统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6962B00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0A07F33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镜箱（非真空）</w:t>
                  </w:r>
                </w:p>
              </w:tc>
              <w:tc>
                <w:tcPr>
                  <w:tcW w:w="1432" w:type="dxa"/>
                  <w:vAlign w:val="center"/>
                </w:tcPr>
                <w:p w14:paraId="6E0AED7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布置在锯齿墙内，上游与第一反射镜系统观察窗对接，下游与遮光管对接</w:t>
                  </w:r>
                </w:p>
              </w:tc>
              <w:tc>
                <w:tcPr>
                  <w:tcW w:w="340" w:type="dxa"/>
                  <w:vAlign w:val="center"/>
                </w:tcPr>
                <w:p w14:paraId="344579B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685B99B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00382C3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3F00D87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1E7E33B1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6A91BF93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支架</w:t>
                  </w:r>
                </w:p>
              </w:tc>
              <w:tc>
                <w:tcPr>
                  <w:tcW w:w="1432" w:type="dxa"/>
                  <w:vAlign w:val="center"/>
                </w:tcPr>
                <w:p w14:paraId="746F6608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/</w:t>
                  </w:r>
                </w:p>
              </w:tc>
              <w:tc>
                <w:tcPr>
                  <w:tcW w:w="340" w:type="dxa"/>
                  <w:vAlign w:val="center"/>
                </w:tcPr>
                <w:p w14:paraId="70AA35DE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4CE17451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49E0948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restart"/>
                  <w:vAlign w:val="center"/>
                </w:tcPr>
                <w:p w14:paraId="0604AC7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传输光路组件——第三反射镜系统镜箱及支架</w:t>
                  </w:r>
                </w:p>
              </w:tc>
              <w:tc>
                <w:tcPr>
                  <w:tcW w:w="660" w:type="dxa"/>
                  <w:vMerge w:val="restart"/>
                  <w:vAlign w:val="center"/>
                </w:tcPr>
                <w:p w14:paraId="7C5A434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准直精度：±0.1mm</w:t>
                  </w:r>
                </w:p>
              </w:tc>
              <w:tc>
                <w:tcPr>
                  <w:tcW w:w="1453" w:type="dxa"/>
                  <w:vAlign w:val="center"/>
                </w:tcPr>
                <w:p w14:paraId="2DD4CDE8">
                  <w:pPr>
                    <w:widowControl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镜箱（非真空）</w:t>
                  </w:r>
                </w:p>
              </w:tc>
              <w:tc>
                <w:tcPr>
                  <w:tcW w:w="1432" w:type="dxa"/>
                  <w:vAlign w:val="center"/>
                </w:tcPr>
                <w:p w14:paraId="57EC0463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布置在锯齿墙外，与遮光管对接</w:t>
                  </w:r>
                </w:p>
              </w:tc>
              <w:tc>
                <w:tcPr>
                  <w:tcW w:w="340" w:type="dxa"/>
                  <w:vAlign w:val="center"/>
                </w:tcPr>
                <w:p w14:paraId="14713245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55A22E8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21AE480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47AE55C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061CCA1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1981D3A9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观察窗（非真空）</w:t>
                  </w:r>
                </w:p>
              </w:tc>
              <w:tc>
                <w:tcPr>
                  <w:tcW w:w="1432" w:type="dxa"/>
                  <w:vAlign w:val="center"/>
                </w:tcPr>
                <w:p w14:paraId="24A1C52D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镜箱下游出口需设置观察窗，观察窗通光直径φ≥150 mm</w:t>
                  </w:r>
                </w:p>
              </w:tc>
              <w:tc>
                <w:tcPr>
                  <w:tcW w:w="340" w:type="dxa"/>
                  <w:vAlign w:val="center"/>
                </w:tcPr>
                <w:p w14:paraId="6D160D76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020F57F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7269A57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</w:trPr>
              <w:tc>
                <w:tcPr>
                  <w:tcW w:w="714" w:type="dxa"/>
                  <w:vMerge w:val="continue"/>
                  <w:vAlign w:val="center"/>
                </w:tcPr>
                <w:p w14:paraId="360D9E84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660" w:type="dxa"/>
                  <w:vMerge w:val="continue"/>
                  <w:vAlign w:val="center"/>
                </w:tcPr>
                <w:p w14:paraId="43870F5C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1453" w:type="dxa"/>
                  <w:vAlign w:val="center"/>
                </w:tcPr>
                <w:p w14:paraId="2F651B5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支架</w:t>
                  </w:r>
                </w:p>
              </w:tc>
              <w:tc>
                <w:tcPr>
                  <w:tcW w:w="1432" w:type="dxa"/>
                  <w:vAlign w:val="center"/>
                </w:tcPr>
                <w:p w14:paraId="54D75137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/</w:t>
                  </w:r>
                </w:p>
              </w:tc>
              <w:tc>
                <w:tcPr>
                  <w:tcW w:w="340" w:type="dxa"/>
                  <w:vAlign w:val="center"/>
                </w:tcPr>
                <w:p w14:paraId="63539F0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1A0950B3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  <w:tr w14:paraId="54E858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4" w:hRule="atLeast"/>
              </w:trPr>
              <w:tc>
                <w:tcPr>
                  <w:tcW w:w="714" w:type="dxa"/>
                  <w:vAlign w:val="center"/>
                </w:tcPr>
                <w:p w14:paraId="59FE8AAB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控制</w:t>
                  </w:r>
                </w:p>
              </w:tc>
              <w:tc>
                <w:tcPr>
                  <w:tcW w:w="660" w:type="dxa"/>
                  <w:vAlign w:val="center"/>
                </w:tcPr>
                <w:p w14:paraId="151AAF72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</w:p>
              </w:tc>
              <w:tc>
                <w:tcPr>
                  <w:tcW w:w="2885" w:type="dxa"/>
                  <w:gridSpan w:val="2"/>
                  <w:vAlign w:val="center"/>
                </w:tcPr>
                <w:p w14:paraId="3BC95C6A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用于实现对运动系统的控制；控制器和控制器机箱实现对系统的独立运动控制，布置于本地站</w:t>
                  </w:r>
                </w:p>
              </w:tc>
              <w:tc>
                <w:tcPr>
                  <w:tcW w:w="340" w:type="dxa"/>
                  <w:vAlign w:val="center"/>
                </w:tcPr>
                <w:p w14:paraId="36EB2A98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341" w:type="dxa"/>
                  <w:vAlign w:val="center"/>
                </w:tcPr>
                <w:p w14:paraId="76CDEC1F">
                  <w:pPr>
                    <w:widowControl/>
                    <w:jc w:val="center"/>
                    <w:rPr>
                      <w:kern w:val="0"/>
                      <w:szCs w:val="21"/>
                      <w:shd w:val="clear" w:color="auto" w:fill="FFFFFF"/>
                    </w:rPr>
                  </w:pPr>
                  <w:r>
                    <w:rPr>
                      <w:kern w:val="0"/>
                      <w:szCs w:val="21"/>
                      <w:shd w:val="clear" w:color="auto" w:fill="FFFFFF"/>
                    </w:rPr>
                    <w:t>1</w:t>
                  </w:r>
                </w:p>
              </w:tc>
            </w:tr>
          </w:tbl>
          <w:p w14:paraId="7096F37E">
            <w:pPr>
              <w:tabs>
                <w:tab w:val="left" w:pos="6915"/>
              </w:tabs>
              <w:jc w:val="left"/>
              <w:rPr>
                <w:rFonts w:hint="eastAsia" w:cs="Arial" w:asciiTheme="minorEastAsia" w:hAnsiTheme="minorEastAsia"/>
                <w:kern w:val="0"/>
                <w:szCs w:val="21"/>
              </w:rPr>
            </w:pPr>
          </w:p>
          <w:p w14:paraId="6A082B4C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kern w:val="0"/>
                <w:szCs w:val="21"/>
              </w:rPr>
              <w:t>以上电控设备均包含电机及控制系统；所有部件将按图1所示布局顺序安装，特此说明。</w:t>
            </w:r>
          </w:p>
          <w:p w14:paraId="5671ECA2">
            <w:pPr>
              <w:tabs>
                <w:tab w:val="left" w:pos="6915"/>
              </w:tabs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drawing>
                <wp:inline distT="0" distB="0" distL="0" distR="0">
                  <wp:extent cx="3082290" cy="1475740"/>
                  <wp:effectExtent l="0" t="0" r="3810" b="10160"/>
                  <wp:docPr id="1" name="图片 1" descr="E:\xwechat_files\wxid_4cj01ef1zht022_9093\temp\InputTemp\0b864a15-698b-42e5-a220-74d8d3d89bf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:\xwechat_files\wxid_4cj01ef1zht022_9093\temp\InputTemp\0b864a15-698b-42e5-a220-74d8d3d89bf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2290" cy="147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8FDD83">
            <w:pPr>
              <w:tabs>
                <w:tab w:val="left" w:pos="6915"/>
              </w:tabs>
              <w:jc w:val="center"/>
              <w:rPr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bCs/>
                <w:szCs w:val="21"/>
              </w:rPr>
              <w:t>图1束团长度测量系统前端布局示意图</w:t>
            </w:r>
          </w:p>
        </w:tc>
        <w:tc>
          <w:tcPr>
            <w:tcW w:w="1418" w:type="dxa"/>
            <w:vAlign w:val="center"/>
          </w:tcPr>
          <w:p w14:paraId="0931E28E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59CD0DB8">
            <w:pPr>
              <w:spacing w:line="240" w:lineRule="atLeast"/>
              <w:jc w:val="center"/>
            </w:pPr>
          </w:p>
        </w:tc>
      </w:tr>
      <w:tr w14:paraId="4C970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5" w:type="dxa"/>
            <w:vAlign w:val="center"/>
          </w:tcPr>
          <w:p w14:paraId="10625D28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C710B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szCs w:val="21"/>
              </w:rPr>
              <w:t>合同签订后8个月到货</w:t>
            </w:r>
            <w:r>
              <w:rPr>
                <w:rFonts w:hint="eastAsia"/>
                <w:szCs w:val="21"/>
                <w:lang w:eastAsia="zh-CN"/>
              </w:rPr>
              <w:t>；</w:t>
            </w:r>
            <w:r>
              <w:rPr>
                <w:szCs w:val="21"/>
              </w:rPr>
              <w:t>合同签订后，乙方在2个月内出具细化的加工工艺图纸并得到甲方认可后再进行加工。</w:t>
            </w:r>
          </w:p>
          <w:p w14:paraId="379C6791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szCs w:val="21"/>
              </w:rPr>
              <w:t>一次性交货。</w:t>
            </w:r>
          </w:p>
          <w:p w14:paraId="161F788E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付款方式：</w:t>
            </w:r>
            <w:r>
              <w:rPr>
                <w:szCs w:val="21"/>
              </w:rPr>
              <w:t>合同签订后预付合同总额的20%；接到甲方通知后完成全部安装并验收合格付合同尾款。</w:t>
            </w:r>
          </w:p>
          <w:p w14:paraId="3364DAC1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验收指标及验收要求：</w:t>
            </w:r>
            <w:r>
              <w:rPr>
                <w:szCs w:val="21"/>
              </w:rPr>
              <w:t>按照合同约定进行验收。</w:t>
            </w:r>
          </w:p>
          <w:p w14:paraId="5E6B212A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保修及售后服务：</w:t>
            </w:r>
            <w:r>
              <w:rPr>
                <w:szCs w:val="21"/>
              </w:rPr>
              <w:t>保修1年，起始时间以该设备通过最终验收之日起开始计算。在保修期内，非采购人人为原因引起的设备故障，供应商负责免费维修和免费更换零部件。供应商应于接到采购人维修通知后24小时内（法定假日除外）进行响应，需要抵达现场进行维修的，供应商应在2个工作日内抵达现场，并在合理时间内完成维修。</w:t>
            </w:r>
          </w:p>
          <w:p w14:paraId="0CDD57ED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b/>
                <w:szCs w:val="21"/>
              </w:rPr>
              <w:t>其它：</w:t>
            </w:r>
            <w:r>
              <w:rPr>
                <w:bCs/>
                <w:szCs w:val="21"/>
              </w:rPr>
              <w:t>所有图纸加工件均由乙方负责现场安装，安装过程中搬运、起吊、打孔、膨胀螺栓、化学锚固胶水等相关费用均由乙方承担。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60CA8B4C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554ED6E6">
            <w:pPr>
              <w:spacing w:line="240" w:lineRule="atLeast"/>
              <w:jc w:val="center"/>
            </w:pPr>
          </w:p>
        </w:tc>
      </w:tr>
    </w:tbl>
    <w:p w14:paraId="59AC6D92">
      <w:pPr>
        <w:ind w:right="840"/>
        <w:rPr>
          <w:sz w:val="24"/>
        </w:rPr>
      </w:pPr>
    </w:p>
    <w:p w14:paraId="46F4596C">
      <w:pPr>
        <w:ind w:right="840" w:firstLine="5040" w:firstLineChars="2100"/>
        <w:rPr>
          <w:sz w:val="24"/>
        </w:rPr>
      </w:pPr>
    </w:p>
    <w:p w14:paraId="271766D8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47D12171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0F6073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9D6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96C03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BE2"/>
    <w:rsid w:val="00903C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1E732D18"/>
    <w:rsid w:val="29333783"/>
    <w:rsid w:val="2D070EC5"/>
    <w:rsid w:val="4510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1422</Words>
  <Characters>1780</Characters>
  <Lines>15</Lines>
  <Paragraphs>4</Paragraphs>
  <TotalTime>0</TotalTime>
  <ScaleCrop>false</ScaleCrop>
  <LinksUpToDate>false</LinksUpToDate>
  <CharactersWithSpaces>1844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2025-12-22T06:37:32Z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