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rFonts w:hint="default"/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default"/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default"/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5" w:type="dxa"/>
            <w:vAlign w:val="center"/>
          </w:tcPr>
          <w:p w14:paraId="185CA09D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光斑位置探测器</w:t>
            </w:r>
            <w:bookmarkStart w:id="0" w:name="_GoBack"/>
            <w:bookmarkEnd w:id="0"/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9EEBAC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光斑位置探测器，数量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1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套。</w:t>
            </w:r>
          </w:p>
          <w:p w14:paraId="0877ACFF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1) 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配置及数量：</w:t>
            </w:r>
          </w:p>
          <w:p w14:paraId="7598E0E5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    YAG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模块：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2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套，包含定制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CF63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多通腔体、线性驱动（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DN35CF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，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75mm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行程，通径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38mm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，手动）、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YAG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及支架、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CCD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等。</w:t>
            </w:r>
          </w:p>
          <w:p w14:paraId="06014FA5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    MCP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模块：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2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套，包含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MCP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及支架、真空内荧光屏、线性驱动（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DN35CF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，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200mm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行程，通径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38mm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，手动）、高压源、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CCD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等。</w:t>
            </w:r>
          </w:p>
          <w:p w14:paraId="1638527D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2) 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关键技术指标：</w:t>
            </w:r>
          </w:p>
          <w:p w14:paraId="6F878575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定制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CF63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多通腔体：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SS316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不锈钢，漏率优于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5E-10 Pa*m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vertAlign w:val="superscript"/>
                <w:lang w:val="en-US" w:eastAsia="zh-CN" w:bidi="ar"/>
              </w:rPr>
              <w:t>3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/s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；</w:t>
            </w:r>
          </w:p>
          <w:p w14:paraId="574690A4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    YAG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晶体：直径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10mm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，中心孔径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2mm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；</w:t>
            </w:r>
          </w:p>
          <w:p w14:paraId="09597C68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 xml:space="preserve">    MCP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：将入射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X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射线转化为倍增电子；荧光屏将倍增电子转化为可见光；</w:t>
            </w:r>
          </w:p>
          <w:p w14:paraId="00A46F4B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i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CCD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：用于观察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YAG/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荧光屏光斑（实时成像）；</w:t>
            </w:r>
          </w:p>
          <w:p w14:paraId="565E60CC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线性驱动：中心通径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38mm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；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CF35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法兰；</w:t>
            </w:r>
            <w:r>
              <w:rPr>
                <w:rFonts w:hint="default" w:ascii="Calibri" w:hAnsi="Calibri" w:eastAsia="宋体" w:cs="Times New Roman"/>
                <w:bCs/>
                <w:iCs/>
                <w:kern w:val="2"/>
                <w:sz w:val="24"/>
                <w:szCs w:val="22"/>
                <w:lang w:val="en-US" w:eastAsia="zh-CN" w:bidi="ar"/>
              </w:rPr>
              <w:t>200mm</w:t>
            </w:r>
            <w:r>
              <w:rPr>
                <w:rFonts w:hint="eastAsia" w:ascii="Calibri" w:hAnsi="Calibri" w:eastAsia="宋体" w:cs="宋体"/>
                <w:bCs/>
                <w:iCs/>
                <w:kern w:val="2"/>
                <w:sz w:val="24"/>
                <w:szCs w:val="22"/>
                <w:lang w:val="en-US" w:eastAsia="zh-CN" w:bidi="ar"/>
              </w:rPr>
              <w:t>行程。</w:t>
            </w:r>
          </w:p>
          <w:p w14:paraId="11A4C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23" w:type="dxa"/>
            <w:vAlign w:val="center"/>
          </w:tcPr>
          <w:p w14:paraId="1C60665B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25" w:type="dxa"/>
            <w:vAlign w:val="center"/>
          </w:tcPr>
          <w:p w14:paraId="21D5CC9B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D9F0B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交货期：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乙方于图纸确认后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6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个月将货物送达至甲方指定地点。</w:t>
            </w:r>
          </w:p>
          <w:p w14:paraId="5A6B8302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交付进度：</w:t>
            </w:r>
          </w:p>
          <w:p w14:paraId="4F901C15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1)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合同签订后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1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个月内由乙方提供图纸，并需由甲方签字确认；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2)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图纸确认后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6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个月内完成产品加工；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3)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发货前提供出厂检验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/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测试报告；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4)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到货后完成开箱验收、安装指导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/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调试支持及使用培训。</w:t>
            </w:r>
          </w:p>
          <w:p w14:paraId="5CC0A234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付款方式：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合同签订后预付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40%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货款，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60%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尾款发货前付清。</w:t>
            </w:r>
          </w:p>
          <w:p w14:paraId="4AA66A8F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验收指标及验收要求：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提供出厂合格证或者出厂测试报告。</w:t>
            </w:r>
          </w:p>
          <w:p w14:paraId="536428D3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bCs w:val="0"/>
                <w:sz w:val="24"/>
                <w:szCs w:val="22"/>
                <w:lang w:val="en-US"/>
              </w:rPr>
            </w:pPr>
            <w:r>
              <w:rPr>
                <w:rFonts w:hint="eastAsia" w:ascii="Calibri" w:hAnsi="Calibri" w:eastAsia="宋体" w:cs="宋体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阶段性检查要求：</w:t>
            </w:r>
          </w:p>
          <w:p w14:paraId="2AF79361">
            <w:pPr>
              <w:keepNext w:val="0"/>
              <w:keepLines w:val="0"/>
              <w:widowControl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  <w:szCs w:val="22"/>
                <w:lang w:val="en-US"/>
              </w:rPr>
            </w:pP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1)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图纸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/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接口尺寸确认；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2)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出厂前阶段性检查：关键部件装配、漏检与功能测试记录；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 xml:space="preserve">3) </w:t>
            </w:r>
            <w:r>
              <w:rPr>
                <w:rFonts w:hint="eastAsia" w:ascii="Calibri" w:hAnsi="Calibri" w:eastAsia="宋体" w:cs="宋体"/>
                <w:bCs/>
                <w:kern w:val="2"/>
                <w:sz w:val="24"/>
                <w:szCs w:val="22"/>
                <w:lang w:val="en-US" w:eastAsia="zh-CN" w:bidi="ar"/>
              </w:rPr>
              <w:t>发货前可进行远程或现场预验收。</w:t>
            </w:r>
          </w:p>
          <w:p w14:paraId="7DA64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 w:val="0"/>
                <w:kern w:val="2"/>
                <w:sz w:val="24"/>
                <w:szCs w:val="22"/>
                <w:lang w:val="en-US" w:eastAsia="zh-CN" w:bidi="ar"/>
              </w:rPr>
              <w:t>保修及售后服务：</w:t>
            </w:r>
            <w:r>
              <w:rPr>
                <w:rFonts w:hint="eastAsia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乙方对其所提供设备的免费保修期为</w:t>
            </w:r>
            <w:r>
              <w:rPr>
                <w:rFonts w:hint="default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12</w:t>
            </w:r>
            <w:r>
              <w:rPr>
                <w:rFonts w:hint="eastAsia" w:ascii="Calibri" w:hAnsi="Calibri" w:eastAsia="宋体" w:cs="Times New Roman"/>
                <w:bCs/>
                <w:kern w:val="2"/>
                <w:sz w:val="24"/>
                <w:szCs w:val="22"/>
                <w:lang w:val="en-US" w:eastAsia="zh-CN" w:bidi="ar"/>
              </w:rPr>
              <w:t>个月。质保期内，非认为故障所需更换的零部件，不另外收取人工费和差旅费。</w:t>
            </w:r>
          </w:p>
        </w:tc>
        <w:tc>
          <w:tcPr>
            <w:tcW w:w="1464" w:type="dxa"/>
            <w:vAlign w:val="center"/>
          </w:tcPr>
          <w:p w14:paraId="324B1D27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23" w:type="dxa"/>
            <w:vAlign w:val="center"/>
          </w:tcPr>
          <w:p w14:paraId="06AA2CA0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/>
              </w:rPr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2D070EC5"/>
    <w:rsid w:val="3B72598A"/>
    <w:rsid w:val="468B21C7"/>
    <w:rsid w:val="46BF17AE"/>
    <w:rsid w:val="48EB0E6F"/>
    <w:rsid w:val="70E72ABF"/>
    <w:rsid w:val="7A6A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597</Words>
  <Characters>690</Characters>
  <Lines>5</Lines>
  <Paragraphs>1</Paragraphs>
  <TotalTime>0</TotalTime>
  <ScaleCrop>false</ScaleCrop>
  <LinksUpToDate>false</LinksUpToDate>
  <CharactersWithSpaces>749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2026-01-05T02:06:05Z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