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7F42D7">
      <w:pPr>
        <w:jc w:val="center"/>
        <w:rPr>
          <w:sz w:val="24"/>
          <w:szCs w:val="24"/>
        </w:rPr>
      </w:pPr>
      <w:r>
        <w:rPr>
          <w:sz w:val="24"/>
          <w:szCs w:val="24"/>
        </w:rPr>
        <w:t>中国科学技术大学国家同步辐射实验室</w:t>
      </w:r>
    </w:p>
    <w:p w14:paraId="71ADF21F">
      <w:pPr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>技术指标供应商确认表</w:t>
      </w:r>
    </w:p>
    <w:p w14:paraId="50584A57">
      <w:pPr>
        <w:rPr>
          <w:sz w:val="24"/>
          <w:szCs w:val="24"/>
        </w:rPr>
      </w:pPr>
    </w:p>
    <w:tbl>
      <w:tblPr>
        <w:tblStyle w:val="3"/>
        <w:tblW w:w="9781" w:type="dxa"/>
        <w:tblInd w:w="-5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5"/>
        <w:gridCol w:w="1561"/>
        <w:gridCol w:w="5322"/>
        <w:gridCol w:w="1201"/>
        <w:gridCol w:w="992"/>
      </w:tblGrid>
      <w:tr w14:paraId="20C66D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6" w:hRule="atLeast"/>
        </w:trPr>
        <w:tc>
          <w:tcPr>
            <w:tcW w:w="705" w:type="dxa"/>
            <w:vAlign w:val="center"/>
          </w:tcPr>
          <w:p w14:paraId="3E29496F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序号</w:t>
            </w:r>
          </w:p>
        </w:tc>
        <w:tc>
          <w:tcPr>
            <w:tcW w:w="1561" w:type="dxa"/>
            <w:vAlign w:val="center"/>
          </w:tcPr>
          <w:p w14:paraId="467D4662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名称</w:t>
            </w:r>
          </w:p>
        </w:tc>
        <w:tc>
          <w:tcPr>
            <w:tcW w:w="5322" w:type="dxa"/>
            <w:vAlign w:val="center"/>
          </w:tcPr>
          <w:p w14:paraId="0B99A1E1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技术指标</w:t>
            </w:r>
          </w:p>
        </w:tc>
        <w:tc>
          <w:tcPr>
            <w:tcW w:w="1201" w:type="dxa"/>
            <w:vAlign w:val="center"/>
          </w:tcPr>
          <w:p w14:paraId="78A93726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偏离说明</w:t>
            </w:r>
          </w:p>
          <w:p w14:paraId="529022B5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无偏离</w:t>
            </w:r>
            <w:r>
              <w:rPr>
                <w:rFonts w:hint="eastAsia"/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正偏离</w:t>
            </w:r>
            <w:r>
              <w:rPr>
                <w:rFonts w:hint="eastAsia"/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负偏离</w:t>
            </w:r>
            <w:r>
              <w:rPr>
                <w:rFonts w:hint="eastAsia"/>
                <w:sz w:val="24"/>
                <w:szCs w:val="24"/>
              </w:rPr>
              <w:t>)</w:t>
            </w:r>
          </w:p>
        </w:tc>
        <w:tc>
          <w:tcPr>
            <w:tcW w:w="992" w:type="dxa"/>
            <w:vAlign w:val="center"/>
          </w:tcPr>
          <w:p w14:paraId="744AE6C5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偏离值</w:t>
            </w:r>
          </w:p>
        </w:tc>
      </w:tr>
      <w:tr w14:paraId="6C24DA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9" w:hRule="atLeast"/>
        </w:trPr>
        <w:tc>
          <w:tcPr>
            <w:tcW w:w="705" w:type="dxa"/>
            <w:vAlign w:val="center"/>
          </w:tcPr>
          <w:p w14:paraId="6B5478EA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156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52282F">
            <w:pPr>
              <w:keepNext w:val="0"/>
              <w:keepLines w:val="0"/>
              <w:pageBreakBefore w:val="0"/>
              <w:widowControl w:val="0"/>
              <w:tabs>
                <w:tab w:val="left" w:pos="6915"/>
              </w:tabs>
              <w:kinsoku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bookmarkStart w:id="0" w:name="_GoBack"/>
            <w:r>
              <w:rPr>
                <w:rFonts w:hint="eastAsia" w:eastAsia="宋体"/>
                <w:sz w:val="24"/>
                <w:szCs w:val="24"/>
                <w:lang w:val="en-US" w:eastAsia="zh-CN"/>
              </w:rPr>
              <w:t>合肥光源科学数据管理系统</w:t>
            </w:r>
          </w:p>
          <w:bookmarkEnd w:id="0"/>
          <w:p w14:paraId="72D7432B">
            <w:pPr>
              <w:keepNext w:val="0"/>
              <w:keepLines w:val="0"/>
              <w:pageBreakBefore w:val="0"/>
              <w:widowControl w:val="0"/>
              <w:tabs>
                <w:tab w:val="left" w:pos="6915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64" w:lineRule="auto"/>
              <w:jc w:val="center"/>
              <w:textAlignment w:val="auto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Cs/>
                <w:sz w:val="24"/>
                <w:szCs w:val="24"/>
              </w:rPr>
              <w:br w:type="textWrapping"/>
            </w:r>
            <w:r>
              <w:rPr>
                <w:rFonts w:hint="eastAsia" w:asciiTheme="minorEastAsia" w:hAnsiTheme="minorEastAsia" w:eastAsiaTheme="minorEastAsia"/>
                <w:bCs/>
                <w:sz w:val="24"/>
                <w:szCs w:val="24"/>
              </w:rPr>
              <w:br w:type="textWrapping"/>
            </w:r>
          </w:p>
        </w:tc>
        <w:tc>
          <w:tcPr>
            <w:tcW w:w="5322" w:type="dxa"/>
            <w:vAlign w:val="center"/>
          </w:tcPr>
          <w:tbl>
            <w:tblPr>
              <w:tblStyle w:val="3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02"/>
              <w:gridCol w:w="747"/>
              <w:gridCol w:w="3647"/>
            </w:tblGrid>
            <w:tr w14:paraId="2A23800F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5" w:hRule="atLeast"/>
              </w:trPr>
              <w:tc>
                <w:tcPr>
                  <w:tcW w:w="1096" w:type="dxa"/>
                </w:tcPr>
                <w:p w14:paraId="292B5E7B">
                  <w:pPr>
                    <w:keepNext w:val="0"/>
                    <w:keepLines w:val="0"/>
                    <w:pageBreakBefore w:val="0"/>
                    <w:widowControl w:val="0"/>
                    <w:kinsoku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center"/>
                    <w:textAlignment w:val="auto"/>
                    <w:rPr>
                      <w:rFonts w:hint="default" w:ascii="Times New Roman" w:hAnsi="Times New Roman" w:eastAsia="宋体" w:cs="Times New Roman"/>
                      <w:b/>
                      <w:bCs/>
                      <w:sz w:val="24"/>
                      <w:szCs w:val="24"/>
                      <w:shd w:val="clear" w:color="auto" w:fill="FFFFFF"/>
                      <w:vertAlign w:val="baseline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/>
                      <w:bCs/>
                      <w:sz w:val="24"/>
                      <w:szCs w:val="24"/>
                      <w:shd w:val="clear" w:color="auto" w:fill="FFFFFF"/>
                    </w:rPr>
                    <w:t>名称</w:t>
                  </w:r>
                </w:p>
              </w:tc>
              <w:tc>
                <w:tcPr>
                  <w:tcW w:w="1213" w:type="dxa"/>
                </w:tcPr>
                <w:p w14:paraId="4C39109B">
                  <w:pPr>
                    <w:keepNext w:val="0"/>
                    <w:keepLines w:val="0"/>
                    <w:pageBreakBefore w:val="0"/>
                    <w:widowControl w:val="0"/>
                    <w:kinsoku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center"/>
                    <w:textAlignment w:val="auto"/>
                    <w:rPr>
                      <w:rFonts w:hint="default" w:ascii="Times New Roman" w:hAnsi="Times New Roman" w:eastAsia="宋体" w:cs="Times New Roman"/>
                      <w:b/>
                      <w:bCs/>
                      <w:sz w:val="24"/>
                      <w:szCs w:val="24"/>
                      <w:shd w:val="clear" w:color="auto" w:fill="FFFFFF"/>
                      <w:vertAlign w:val="baseline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/>
                      <w:bCs/>
                      <w:sz w:val="24"/>
                      <w:szCs w:val="24"/>
                      <w:shd w:val="clear" w:color="auto" w:fill="FFFFFF"/>
                    </w:rPr>
                    <w:t>数量</w:t>
                  </w:r>
                </w:p>
              </w:tc>
              <w:tc>
                <w:tcPr>
                  <w:tcW w:w="7312" w:type="dxa"/>
                </w:tcPr>
                <w:p w14:paraId="2D649CCC">
                  <w:pPr>
                    <w:keepNext w:val="0"/>
                    <w:keepLines w:val="0"/>
                    <w:pageBreakBefore w:val="0"/>
                    <w:widowControl w:val="0"/>
                    <w:kinsoku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center"/>
                    <w:textAlignment w:val="auto"/>
                    <w:rPr>
                      <w:rFonts w:hint="default" w:ascii="Times New Roman" w:hAnsi="Times New Roman" w:eastAsia="宋体" w:cs="Times New Roman"/>
                      <w:b/>
                      <w:bCs/>
                      <w:sz w:val="24"/>
                      <w:szCs w:val="24"/>
                      <w:shd w:val="clear" w:color="auto" w:fill="FFFFFF"/>
                      <w:vertAlign w:val="baseline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/>
                      <w:bCs/>
                      <w:sz w:val="24"/>
                      <w:szCs w:val="24"/>
                      <w:shd w:val="clear" w:color="auto" w:fill="FFFFFF"/>
                    </w:rPr>
                    <w:t>主要功能和技术参数</w:t>
                  </w:r>
                </w:p>
              </w:tc>
            </w:tr>
            <w:tr w14:paraId="5DE4339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936" w:hRule="atLeast"/>
              </w:trPr>
              <w:tc>
                <w:tcPr>
                  <w:tcW w:w="1096" w:type="dxa"/>
                </w:tcPr>
                <w:p w14:paraId="200F042E">
                  <w:pPr>
                    <w:keepNext w:val="0"/>
                    <w:keepLines w:val="0"/>
                    <w:pageBreakBefore w:val="0"/>
                    <w:widowControl w:val="0"/>
                    <w:kinsoku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textAlignment w:val="auto"/>
                    <w:rPr>
                      <w:rFonts w:hint="default" w:ascii="Times New Roman" w:hAnsi="Times New Roman" w:eastAsia="宋体" w:cs="Times New Roman"/>
                      <w:b w:val="0"/>
                      <w:bCs w:val="0"/>
                      <w:sz w:val="24"/>
                      <w:szCs w:val="24"/>
                      <w:shd w:val="clear" w:color="auto" w:fill="FFFFFF"/>
                      <w:vertAlign w:val="baseline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 w:val="0"/>
                      <w:bCs w:val="0"/>
                      <w:sz w:val="24"/>
                      <w:szCs w:val="24"/>
                      <w:shd w:val="clear" w:color="auto" w:fill="FFFFFF"/>
                      <w:vertAlign w:val="baseline"/>
                    </w:rPr>
                    <w:t>合肥光源科学数据管理系统</w:t>
                  </w:r>
                </w:p>
              </w:tc>
              <w:tc>
                <w:tcPr>
                  <w:tcW w:w="1213" w:type="dxa"/>
                </w:tcPr>
                <w:p w14:paraId="2416EEFB">
                  <w:pPr>
                    <w:keepNext w:val="0"/>
                    <w:keepLines w:val="0"/>
                    <w:pageBreakBefore w:val="0"/>
                    <w:widowControl w:val="0"/>
                    <w:kinsoku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center"/>
                    <w:textAlignment w:val="auto"/>
                    <w:rPr>
                      <w:rFonts w:hint="default" w:ascii="Times New Roman" w:hAnsi="Times New Roman" w:eastAsia="宋体" w:cs="Times New Roman"/>
                      <w:b w:val="0"/>
                      <w:bCs w:val="0"/>
                      <w:sz w:val="24"/>
                      <w:szCs w:val="24"/>
                      <w:shd w:val="clear" w:color="auto" w:fill="FFFFFF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b w:val="0"/>
                      <w:bCs w:val="0"/>
                      <w:sz w:val="24"/>
                      <w:szCs w:val="24"/>
                      <w:shd w:val="clear" w:color="auto" w:fill="FFFFFF"/>
                      <w:vertAlign w:val="baseline"/>
                      <w:lang w:val="en-US" w:eastAsia="zh-CN"/>
                    </w:rPr>
                    <w:t>1套</w:t>
                  </w:r>
                </w:p>
              </w:tc>
              <w:tc>
                <w:tcPr>
                  <w:tcW w:w="7312" w:type="dxa"/>
                </w:tcPr>
                <w:p w14:paraId="4A671341">
                  <w:pPr>
                    <w:keepNext w:val="0"/>
                    <w:keepLines w:val="0"/>
                    <w:pageBreakBefore w:val="0"/>
                    <w:widowControl w:val="0"/>
                    <w:kinsoku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textAlignment w:val="auto"/>
                    <w:rPr>
                      <w:rFonts w:hint="default" w:ascii="Times New Roman" w:hAnsi="Times New Roman" w:eastAsia="宋体" w:cs="Times New Roman"/>
                      <w:b w:val="0"/>
                      <w:bCs w:val="0"/>
                      <w:sz w:val="24"/>
                      <w:szCs w:val="24"/>
                      <w:shd w:val="clear" w:color="auto" w:fill="FFFFFF"/>
                      <w:vertAlign w:val="baseline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 w:val="0"/>
                      <w:bCs w:val="0"/>
                      <w:sz w:val="24"/>
                      <w:szCs w:val="24"/>
                      <w:shd w:val="clear" w:color="auto" w:fill="FFFFFF"/>
                      <w:vertAlign w:val="baseline"/>
                    </w:rPr>
                    <w:t>元数据读写能力：不低于6000条/秒；</w:t>
                  </w:r>
                </w:p>
                <w:p w14:paraId="35EC3124">
                  <w:pPr>
                    <w:keepNext w:val="0"/>
                    <w:keepLines w:val="0"/>
                    <w:pageBreakBefore w:val="0"/>
                    <w:widowControl w:val="0"/>
                    <w:kinsoku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textAlignment w:val="auto"/>
                    <w:rPr>
                      <w:rFonts w:hint="default" w:ascii="Times New Roman" w:hAnsi="Times New Roman" w:eastAsia="宋体" w:cs="Times New Roman"/>
                      <w:b w:val="0"/>
                      <w:bCs w:val="0"/>
                      <w:sz w:val="24"/>
                      <w:szCs w:val="24"/>
                      <w:shd w:val="clear" w:color="auto" w:fill="FFFFFF"/>
                      <w:vertAlign w:val="baseline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 w:val="0"/>
                      <w:bCs w:val="0"/>
                      <w:sz w:val="24"/>
                      <w:szCs w:val="24"/>
                      <w:shd w:val="clear" w:color="auto" w:fill="FFFFFF"/>
                      <w:vertAlign w:val="baseline"/>
                    </w:rPr>
                    <w:t>元数据查询响应：常用查询条件下平均响应时间不超过2秒；</w:t>
                  </w:r>
                </w:p>
                <w:p w14:paraId="62B213CA">
                  <w:pPr>
                    <w:keepNext w:val="0"/>
                    <w:keepLines w:val="0"/>
                    <w:pageBreakBefore w:val="0"/>
                    <w:widowControl w:val="0"/>
                    <w:kinsoku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textAlignment w:val="auto"/>
                    <w:rPr>
                      <w:rFonts w:hint="default" w:ascii="Times New Roman" w:hAnsi="Times New Roman" w:eastAsia="宋体" w:cs="Times New Roman"/>
                      <w:b w:val="0"/>
                      <w:bCs w:val="0"/>
                      <w:sz w:val="24"/>
                      <w:szCs w:val="24"/>
                      <w:shd w:val="clear" w:color="auto" w:fill="FFFFFF"/>
                      <w:vertAlign w:val="baseline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 w:val="0"/>
                      <w:bCs w:val="0"/>
                      <w:sz w:val="24"/>
                      <w:szCs w:val="24"/>
                      <w:shd w:val="clear" w:color="auto" w:fill="FFFFFF"/>
                      <w:vertAlign w:val="baseline"/>
                    </w:rPr>
                    <w:t>数据传输速率：单链路传输速率不低于1Gbps，支持多路并发传输；</w:t>
                  </w:r>
                </w:p>
                <w:p w14:paraId="0C75029B">
                  <w:pPr>
                    <w:keepNext w:val="0"/>
                    <w:keepLines w:val="0"/>
                    <w:pageBreakBefore w:val="0"/>
                    <w:widowControl w:val="0"/>
                    <w:kinsoku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textAlignment w:val="auto"/>
                    <w:rPr>
                      <w:rFonts w:hint="default" w:ascii="Times New Roman" w:hAnsi="Times New Roman" w:eastAsia="宋体" w:cs="Times New Roman"/>
                      <w:b w:val="0"/>
                      <w:bCs w:val="0"/>
                      <w:sz w:val="24"/>
                      <w:szCs w:val="24"/>
                      <w:shd w:val="clear" w:color="auto" w:fill="FFFFFF"/>
                      <w:vertAlign w:val="baseline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 w:val="0"/>
                      <w:bCs w:val="0"/>
                      <w:sz w:val="24"/>
                      <w:szCs w:val="24"/>
                      <w:shd w:val="clear" w:color="auto" w:fill="FFFFFF"/>
                      <w:vertAlign w:val="baseline"/>
                    </w:rPr>
                    <w:t>下载性能：高速下载单任务下载速率不低于500Mbps；</w:t>
                  </w:r>
                </w:p>
                <w:p w14:paraId="4D505AB2">
                  <w:pPr>
                    <w:keepNext w:val="0"/>
                    <w:keepLines w:val="0"/>
                    <w:pageBreakBefore w:val="0"/>
                    <w:widowControl w:val="0"/>
                    <w:kinsoku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textAlignment w:val="auto"/>
                    <w:rPr>
                      <w:rFonts w:hint="default" w:ascii="Times New Roman" w:hAnsi="Times New Roman" w:eastAsia="宋体" w:cs="Times New Roman"/>
                      <w:b w:val="0"/>
                      <w:bCs w:val="0"/>
                      <w:sz w:val="24"/>
                      <w:szCs w:val="24"/>
                      <w:shd w:val="clear" w:color="auto" w:fill="FFFFFF"/>
                      <w:vertAlign w:val="baseline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 w:val="0"/>
                      <w:bCs w:val="0"/>
                      <w:sz w:val="24"/>
                      <w:szCs w:val="24"/>
                      <w:shd w:val="clear" w:color="auto" w:fill="FFFFFF"/>
                      <w:vertAlign w:val="baseline"/>
                    </w:rPr>
                    <w:t>系统容量：支持百万级数据集、千万级文件的管理规模；</w:t>
                  </w:r>
                </w:p>
                <w:p w14:paraId="51FD14EA">
                  <w:pPr>
                    <w:keepNext w:val="0"/>
                    <w:keepLines w:val="0"/>
                    <w:pageBreakBefore w:val="0"/>
                    <w:widowControl w:val="0"/>
                    <w:kinsoku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textAlignment w:val="auto"/>
                    <w:rPr>
                      <w:rFonts w:hint="default" w:ascii="Times New Roman" w:hAnsi="Times New Roman" w:eastAsia="宋体" w:cs="Times New Roman"/>
                      <w:b w:val="0"/>
                      <w:bCs w:val="0"/>
                      <w:sz w:val="24"/>
                      <w:szCs w:val="24"/>
                      <w:shd w:val="clear" w:color="auto" w:fill="FFFFFF"/>
                      <w:vertAlign w:val="baseline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 w:val="0"/>
                      <w:bCs w:val="0"/>
                      <w:sz w:val="24"/>
                      <w:szCs w:val="24"/>
                      <w:shd w:val="clear" w:color="auto" w:fill="FFFFFF"/>
                      <w:vertAlign w:val="baseline"/>
                    </w:rPr>
                    <w:t xml:space="preserve">数据安全：支持细粒度权限控制，操作全程可审计。 </w:t>
                  </w:r>
                </w:p>
              </w:tc>
            </w:tr>
          </w:tbl>
          <w:p w14:paraId="3080EDDB">
            <w:pPr>
              <w:keepNext w:val="0"/>
              <w:keepLines w:val="0"/>
              <w:pageBreakBefore w:val="0"/>
              <w:widowControl w:val="0"/>
              <w:kinsoku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shd w:val="clear" w:color="auto" w:fill="FFFFFF"/>
              </w:rPr>
              <w:t>功能性指标:</w:t>
            </w:r>
          </w:p>
          <w:p w14:paraId="2AB9162A">
            <w:pPr>
              <w:keepNext w:val="0"/>
              <w:keepLines w:val="0"/>
              <w:pageBreakBefore w:val="0"/>
              <w:widowControl w:val="0"/>
              <w:tabs>
                <w:tab w:val="left" w:pos="6915"/>
              </w:tabs>
              <w:kinsoku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1. 元数据模型与接口生成</w:t>
            </w:r>
          </w:p>
          <w:p w14:paraId="74BD321D">
            <w:pPr>
              <w:keepNext w:val="0"/>
              <w:keepLines w:val="0"/>
              <w:pageBreakBefore w:val="0"/>
              <w:widowControl w:val="0"/>
              <w:tabs>
                <w:tab w:val="left" w:pos="6915"/>
              </w:tabs>
              <w:kinsoku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• 提供通用元数据模型与接口规范，支持元数据结构自定义</w:t>
            </w:r>
          </w:p>
          <w:p w14:paraId="40B1C0E2">
            <w:pPr>
              <w:keepNext w:val="0"/>
              <w:keepLines w:val="0"/>
              <w:pageBreakBefore w:val="0"/>
              <w:widowControl w:val="0"/>
              <w:tabs>
                <w:tab w:val="left" w:pos="6915"/>
              </w:tabs>
              <w:kinsoku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• 支持线站管理员为不同数据结构的元数据动态构建模型</w:t>
            </w:r>
          </w:p>
          <w:p w14:paraId="36866D90">
            <w:pPr>
              <w:keepNext w:val="0"/>
              <w:keepLines w:val="0"/>
              <w:pageBreakBefore w:val="0"/>
              <w:widowControl w:val="0"/>
              <w:tabs>
                <w:tab w:val="left" w:pos="6915"/>
              </w:tabs>
              <w:kinsoku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• 支持快速生成满足需求的元数据应用访问接口</w:t>
            </w:r>
          </w:p>
          <w:p w14:paraId="6FAB9478">
            <w:pPr>
              <w:keepNext w:val="0"/>
              <w:keepLines w:val="0"/>
              <w:pageBreakBefore w:val="0"/>
              <w:widowControl w:val="0"/>
              <w:tabs>
                <w:tab w:val="left" w:pos="6915"/>
              </w:tabs>
              <w:kinsoku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2. 元数据采集与处理</w:t>
            </w:r>
          </w:p>
          <w:p w14:paraId="2AEB8D36">
            <w:pPr>
              <w:keepNext w:val="0"/>
              <w:keepLines w:val="0"/>
              <w:pageBreakBefore w:val="0"/>
              <w:widowControl w:val="0"/>
              <w:tabs>
                <w:tab w:val="left" w:pos="6915"/>
              </w:tabs>
              <w:kinsoku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• 支持多种元数据采集方案：对接线站控制系统，自动获取实验计划、样品信息、用户信息、机时信息、实验参数、仪器状态等元数据</w:t>
            </w:r>
          </w:p>
          <w:p w14:paraId="3DD78B51">
            <w:pPr>
              <w:keepNext w:val="0"/>
              <w:keepLines w:val="0"/>
              <w:pageBreakBefore w:val="0"/>
              <w:widowControl w:val="0"/>
              <w:tabs>
                <w:tab w:val="left" w:pos="6915"/>
              </w:tabs>
              <w:kinsoku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• 支持对文件系统数据文件进行扫描发现，自动建立数据记录并补全元数据</w:t>
            </w:r>
          </w:p>
          <w:p w14:paraId="75C83E48">
            <w:pPr>
              <w:keepNext w:val="0"/>
              <w:keepLines w:val="0"/>
              <w:pageBreakBefore w:val="0"/>
              <w:widowControl w:val="0"/>
              <w:tabs>
                <w:tab w:val="left" w:pos="6915"/>
              </w:tabs>
              <w:kinsoku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• 支持从常见实验数据文件或伴随文件中解析提取元数据</w:t>
            </w:r>
          </w:p>
          <w:p w14:paraId="3BB23212">
            <w:pPr>
              <w:keepNext w:val="0"/>
              <w:keepLines w:val="0"/>
              <w:pageBreakBefore w:val="0"/>
              <w:widowControl w:val="0"/>
              <w:tabs>
                <w:tab w:val="left" w:pos="6915"/>
              </w:tabs>
              <w:kinsoku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• 建立统一数据目录，对实验数据进行规范化组织与管理</w:t>
            </w:r>
          </w:p>
          <w:p w14:paraId="413F1705">
            <w:pPr>
              <w:keepNext w:val="0"/>
              <w:keepLines w:val="0"/>
              <w:pageBreakBefore w:val="0"/>
              <w:widowControl w:val="0"/>
              <w:tabs>
                <w:tab w:val="left" w:pos="6915"/>
              </w:tabs>
              <w:kinsoku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• 跟踪数据在线站端、中心存储、计算环境、归档环境中的位置与状态变化，实现全生命周期管理</w:t>
            </w:r>
          </w:p>
          <w:p w14:paraId="0F0A2776">
            <w:pPr>
              <w:keepNext w:val="0"/>
              <w:keepLines w:val="0"/>
              <w:pageBreakBefore w:val="0"/>
              <w:widowControl w:val="0"/>
              <w:tabs>
                <w:tab w:val="left" w:pos="6915"/>
              </w:tabs>
              <w:kinsoku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3. 数据传输与存储</w:t>
            </w:r>
          </w:p>
          <w:p w14:paraId="569A71E0">
            <w:pPr>
              <w:keepNext w:val="0"/>
              <w:keepLines w:val="0"/>
              <w:pageBreakBefore w:val="0"/>
              <w:widowControl w:val="0"/>
              <w:tabs>
                <w:tab w:val="left" w:pos="6915"/>
              </w:tabs>
              <w:kinsoku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• 支持实验数据从线站端到中心存储的高效、可靠传输</w:t>
            </w:r>
          </w:p>
          <w:p w14:paraId="7AB7B0DC">
            <w:pPr>
              <w:keepNext w:val="0"/>
              <w:keepLines w:val="0"/>
              <w:pageBreakBefore w:val="0"/>
              <w:widowControl w:val="0"/>
              <w:tabs>
                <w:tab w:val="left" w:pos="6915"/>
              </w:tabs>
              <w:kinsoku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• 支持大文件、批量小文件及目录级数据传输</w:t>
            </w:r>
          </w:p>
          <w:p w14:paraId="606112C1">
            <w:pPr>
              <w:keepNext w:val="0"/>
              <w:keepLines w:val="0"/>
              <w:pageBreakBefore w:val="0"/>
              <w:widowControl w:val="0"/>
              <w:tabs>
                <w:tab w:val="left" w:pos="6915"/>
              </w:tabs>
              <w:kinsoku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• 支持断点续传、失败重试、传输校验、任务队列、优先级控制和传输状态监控</w:t>
            </w:r>
          </w:p>
          <w:p w14:paraId="2AA41B6A">
            <w:pPr>
              <w:keepNext w:val="0"/>
              <w:keepLines w:val="0"/>
              <w:pageBreakBefore w:val="0"/>
              <w:widowControl w:val="0"/>
              <w:tabs>
                <w:tab w:val="left" w:pos="6915"/>
              </w:tabs>
              <w:kinsoku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• 支持多级存储架构下的数据路径管理与状态跟踪（存储位置、存储状态、迁移状态、访问入口）</w:t>
            </w:r>
          </w:p>
          <w:p w14:paraId="06C67E38">
            <w:pPr>
              <w:keepNext w:val="0"/>
              <w:keepLines w:val="0"/>
              <w:pageBreakBefore w:val="0"/>
              <w:widowControl w:val="0"/>
              <w:tabs>
                <w:tab w:val="left" w:pos="6915"/>
              </w:tabs>
              <w:kinsoku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• 支持对接文件系统、网络存储、对象存储或合肥光源现有存储环境</w:t>
            </w:r>
          </w:p>
          <w:p w14:paraId="0E23F26B">
            <w:pPr>
              <w:keepNext w:val="0"/>
              <w:keepLines w:val="0"/>
              <w:pageBreakBefore w:val="0"/>
              <w:widowControl w:val="0"/>
              <w:tabs>
                <w:tab w:val="left" w:pos="6915"/>
              </w:tabs>
              <w:kinsoku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4. 数据服务与共享</w:t>
            </w:r>
          </w:p>
          <w:p w14:paraId="36C0B938">
            <w:pPr>
              <w:keepNext w:val="0"/>
              <w:keepLines w:val="0"/>
              <w:pageBreakBefore w:val="0"/>
              <w:widowControl w:val="0"/>
              <w:tabs>
                <w:tab w:val="left" w:pos="6915"/>
              </w:tabs>
              <w:kinsoku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• 提供统一数据服务门户，支持数据检索、浏览、详情查看、预览、下载、授权、统计</w:t>
            </w:r>
          </w:p>
          <w:p w14:paraId="4D2D6BC8">
            <w:pPr>
              <w:keepNext w:val="0"/>
              <w:keepLines w:val="0"/>
              <w:pageBreakBefore w:val="0"/>
              <w:widowControl w:val="0"/>
              <w:tabs>
                <w:tab w:val="left" w:pos="6915"/>
              </w:tabs>
              <w:kinsoku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• 支持多维度检索：按用户、课题、线站、实验时间、样品、实验方法、数据类型、文件名、元数据字段等条件查询</w:t>
            </w:r>
          </w:p>
          <w:p w14:paraId="4AF42EFC">
            <w:pPr>
              <w:keepNext w:val="0"/>
              <w:keepLines w:val="0"/>
              <w:pageBreakBefore w:val="0"/>
              <w:widowControl w:val="0"/>
              <w:tabs>
                <w:tab w:val="left" w:pos="6915"/>
              </w:tabs>
              <w:kinsoku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• 支持数据目录树浏览、数据集详情展示、文件列表查看、元数据与数据状态展示</w:t>
            </w:r>
          </w:p>
          <w:p w14:paraId="7D5CEAE9">
            <w:pPr>
              <w:keepNext w:val="0"/>
              <w:keepLines w:val="0"/>
              <w:pageBreakBefore w:val="0"/>
              <w:widowControl w:val="0"/>
              <w:tabs>
                <w:tab w:val="left" w:pos="6915"/>
              </w:tabs>
              <w:kinsoku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• 提供普通下载、打包下载、高速下载等多种下载方式</w:t>
            </w:r>
          </w:p>
          <w:p w14:paraId="314D62EF">
            <w:pPr>
              <w:keepNext w:val="0"/>
              <w:keepLines w:val="0"/>
              <w:pageBreakBefore w:val="0"/>
              <w:widowControl w:val="0"/>
              <w:tabs>
                <w:tab w:val="left" w:pos="6915"/>
              </w:tabs>
              <w:kinsoku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• 大规模数据下载提供专用高速下载客户端或等效工具，支持任务管理、进度查看、断点续传、失败重试、权限校验</w:t>
            </w:r>
          </w:p>
          <w:p w14:paraId="2640E5AE">
            <w:pPr>
              <w:keepNext w:val="0"/>
              <w:keepLines w:val="0"/>
              <w:pageBreakBefore w:val="0"/>
              <w:widowControl w:val="0"/>
              <w:tabs>
                <w:tab w:val="left" w:pos="6915"/>
              </w:tabs>
              <w:kinsoku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5. 数据安全与权限控制</w:t>
            </w:r>
          </w:p>
          <w:p w14:paraId="4A37A91A">
            <w:pPr>
              <w:keepNext w:val="0"/>
              <w:keepLines w:val="0"/>
              <w:pageBreakBefore w:val="0"/>
              <w:widowControl w:val="0"/>
              <w:tabs>
                <w:tab w:val="left" w:pos="6915"/>
              </w:tabs>
              <w:kinsoku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• 对接合肥光源用户身份认证系统与计算账号管理系统</w:t>
            </w:r>
          </w:p>
          <w:p w14:paraId="728B3193">
            <w:pPr>
              <w:keepNext w:val="0"/>
              <w:keepLines w:val="0"/>
              <w:pageBreakBefore w:val="0"/>
              <w:widowControl w:val="0"/>
              <w:tabs>
                <w:tab w:val="left" w:pos="6915"/>
              </w:tabs>
              <w:kinsoku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• 支持细粒度数据权限控制，网页端与计算集群端访问权限一致</w:t>
            </w:r>
          </w:p>
          <w:p w14:paraId="5B95AB68">
            <w:pPr>
              <w:keepNext w:val="0"/>
              <w:keepLines w:val="0"/>
              <w:pageBreakBefore w:val="0"/>
              <w:widowControl w:val="0"/>
              <w:tabs>
                <w:tab w:val="left" w:pos="6915"/>
              </w:tabs>
              <w:kinsoku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• 支持机时自动创建数据目录并配置访问权限</w:t>
            </w:r>
          </w:p>
          <w:p w14:paraId="28E8DD6C">
            <w:pPr>
              <w:keepNext w:val="0"/>
              <w:keepLines w:val="0"/>
              <w:pageBreakBefore w:val="0"/>
              <w:widowControl w:val="0"/>
              <w:tabs>
                <w:tab w:val="left" w:pos="6915"/>
              </w:tabs>
              <w:kinsoku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• 支持将数据授权给指定用户，实现不同用户数据的安全隔离</w:t>
            </w:r>
          </w:p>
          <w:p w14:paraId="5F33890B">
            <w:pPr>
              <w:keepNext w:val="0"/>
              <w:keepLines w:val="0"/>
              <w:pageBreakBefore w:val="0"/>
              <w:widowControl w:val="0"/>
              <w:tabs>
                <w:tab w:val="left" w:pos="6915"/>
              </w:tabs>
              <w:kinsoku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• 记录数据访问与操作日志，支持审计追溯</w:t>
            </w:r>
          </w:p>
          <w:p w14:paraId="7B97DAAE">
            <w:pPr>
              <w:keepNext w:val="0"/>
              <w:keepLines w:val="0"/>
              <w:pageBreakBefore w:val="0"/>
              <w:widowControl w:val="0"/>
              <w:tabs>
                <w:tab w:val="left" w:pos="6915"/>
              </w:tabs>
              <w:kinsoku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6. 高速下载服务</w:t>
            </w:r>
          </w:p>
          <w:p w14:paraId="6E150362">
            <w:pPr>
              <w:keepNext w:val="0"/>
              <w:keepLines w:val="0"/>
              <w:pageBreakBefore w:val="0"/>
              <w:widowControl w:val="0"/>
              <w:tabs>
                <w:tab w:val="left" w:pos="6915"/>
              </w:tabs>
              <w:kinsoku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• 支持HTTP/HTTPS下载及专用客户端高速下载，适配主流浏览器和Windows、Linux、macOS操作系统</w:t>
            </w:r>
          </w:p>
          <w:p w14:paraId="67226B86">
            <w:pPr>
              <w:keepNext w:val="0"/>
              <w:keepLines w:val="0"/>
              <w:pageBreakBefore w:val="0"/>
              <w:widowControl w:val="0"/>
              <w:tabs>
                <w:tab w:val="left" w:pos="6915"/>
              </w:tabs>
              <w:kinsoku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• 高速下载客户端支持身份认证、权限校验、任务队列、断点续传、并发传输、失败重试、限速配置、下载记录、进度展示</w:t>
            </w:r>
          </w:p>
          <w:p w14:paraId="44BBE593">
            <w:pPr>
              <w:keepNext w:val="0"/>
              <w:keepLines w:val="0"/>
              <w:pageBreakBefore w:val="0"/>
              <w:widowControl w:val="0"/>
              <w:tabs>
                <w:tab w:val="left" w:pos="6915"/>
              </w:tabs>
              <w:kinsoku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• 高速下载服务与系统权限控制机制一致，用户仅可下载授权范围内的数据</w:t>
            </w:r>
          </w:p>
          <w:p w14:paraId="32083AE8">
            <w:pPr>
              <w:keepNext w:val="0"/>
              <w:keepLines w:val="0"/>
              <w:pageBreakBefore w:val="0"/>
              <w:widowControl w:val="0"/>
              <w:tabs>
                <w:tab w:val="left" w:pos="6915"/>
              </w:tabs>
              <w:kinsoku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7. 系统监控与运维</w:t>
            </w:r>
          </w:p>
          <w:p w14:paraId="6A27575F">
            <w:pPr>
              <w:keepNext w:val="0"/>
              <w:keepLines w:val="0"/>
              <w:pageBreakBefore w:val="0"/>
              <w:widowControl w:val="0"/>
              <w:tabs>
                <w:tab w:val="left" w:pos="6915"/>
              </w:tabs>
              <w:kinsoku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• 实现系统全流程监控，实时监控数据全流程状态以及时发现异常</w:t>
            </w:r>
          </w:p>
          <w:p w14:paraId="179792CD">
            <w:pPr>
              <w:keepNext w:val="0"/>
              <w:keepLines w:val="0"/>
              <w:pageBreakBefore w:val="0"/>
              <w:widowControl w:val="0"/>
              <w:tabs>
                <w:tab w:val="left" w:pos="6915"/>
              </w:tabs>
              <w:kinsoku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• 对系统关键指标进行监控并支持异常告警</w:t>
            </w:r>
          </w:p>
          <w:p w14:paraId="5E3BE688">
            <w:pPr>
              <w:keepNext w:val="0"/>
              <w:keepLines w:val="0"/>
              <w:pageBreakBefore w:val="0"/>
              <w:widowControl w:val="0"/>
              <w:tabs>
                <w:tab w:val="left" w:pos="6915"/>
              </w:tabs>
              <w:kinsoku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• 提供数据量趋势分析和统计报表</w:t>
            </w:r>
          </w:p>
          <w:p w14:paraId="3B07CEED">
            <w:pPr>
              <w:keepNext w:val="0"/>
              <w:keepLines w:val="0"/>
              <w:pageBreakBefore w:val="0"/>
              <w:widowControl w:val="0"/>
              <w:tabs>
                <w:tab w:val="left" w:pos="6915"/>
              </w:tabs>
              <w:kinsoku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• 支持故障定位与问题排查</w:t>
            </w:r>
          </w:p>
          <w:p w14:paraId="787636B6">
            <w:pPr>
              <w:keepNext w:val="0"/>
              <w:keepLines w:val="0"/>
              <w:pageBreakBefore w:val="0"/>
              <w:widowControl w:val="0"/>
              <w:tabs>
                <w:tab w:val="left" w:pos="6915"/>
              </w:tabs>
              <w:kinsoku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8. 系统管理</w:t>
            </w:r>
          </w:p>
          <w:p w14:paraId="4650C0C5">
            <w:pPr>
              <w:keepNext w:val="0"/>
              <w:keepLines w:val="0"/>
              <w:pageBreakBefore w:val="0"/>
              <w:widowControl w:val="0"/>
              <w:tabs>
                <w:tab w:val="left" w:pos="6915"/>
              </w:tabs>
              <w:kinsoku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• 提供用户信息维护、账号管理、组织机构管理、角色管理、功能权限配置、菜单配置、系统参数配置、字典管理、日志管理等基础管理功能</w:t>
            </w:r>
          </w:p>
          <w:p w14:paraId="021C67D9">
            <w:pPr>
              <w:spacing w:line="240" w:lineRule="auto"/>
              <w:rPr>
                <w:rFonts w:hint="eastAsia" w:eastAsiaTheme="minorEastAsia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• 支持按角色分配功能权限，满足系统管理员、线站管理员、课题负责人、普通用户、运维人员等角色需求</w:t>
            </w:r>
            <w:r>
              <w:rPr>
                <w:rFonts w:hint="eastAsia" w:ascii="宋体" w:hAnsi="宋体"/>
                <w:b w:val="0"/>
                <w:bCs/>
                <w:sz w:val="24"/>
                <w:szCs w:val="24"/>
                <w:lang w:eastAsia="zh-CN"/>
              </w:rPr>
              <w:t>。</w:t>
            </w:r>
          </w:p>
        </w:tc>
        <w:tc>
          <w:tcPr>
            <w:tcW w:w="1201" w:type="dxa"/>
            <w:vAlign w:val="center"/>
          </w:tcPr>
          <w:p w14:paraId="3494B2B7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4AB5E24F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</w:tr>
      <w:tr w14:paraId="41B7FD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1" w:hRule="atLeast"/>
        </w:trPr>
        <w:tc>
          <w:tcPr>
            <w:tcW w:w="705" w:type="dxa"/>
            <w:vAlign w:val="center"/>
          </w:tcPr>
          <w:p w14:paraId="1FB5921D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87ED25">
            <w:pPr>
              <w:widowControl/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商务条款</w:t>
            </w:r>
          </w:p>
        </w:tc>
        <w:tc>
          <w:tcPr>
            <w:tcW w:w="53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9BE166">
            <w:pPr>
              <w:keepNext w:val="0"/>
              <w:keepLines w:val="0"/>
              <w:pageBreakBefore w:val="0"/>
              <w:widowControl w:val="0"/>
              <w:tabs>
                <w:tab w:val="left" w:pos="6915"/>
              </w:tabs>
              <w:kinsoku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宋体" w:hAnsi="宋体"/>
                <w:b w:val="0"/>
                <w:bCs/>
                <w:sz w:val="24"/>
                <w:szCs w:val="24"/>
              </w:rPr>
            </w:pPr>
            <w:r>
              <w:rPr>
                <w:rFonts w:ascii="宋体" w:hAnsi="宋体"/>
                <w:b/>
                <w:bCs w:val="0"/>
                <w:sz w:val="24"/>
                <w:szCs w:val="24"/>
              </w:rPr>
              <w:t>交货期</w:t>
            </w:r>
            <w:r>
              <w:rPr>
                <w:rFonts w:hint="eastAsia" w:ascii="宋体" w:hAnsi="宋体"/>
                <w:b/>
                <w:bCs w:val="0"/>
                <w:sz w:val="24"/>
                <w:szCs w:val="24"/>
              </w:rPr>
              <w:t>：</w:t>
            </w: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合同签订后</w:t>
            </w:r>
            <w:r>
              <w:rPr>
                <w:rFonts w:hint="eastAsia" w:ascii="宋体" w:hAnsi="宋体"/>
                <w:b w:val="0"/>
                <w:bCs/>
                <w:sz w:val="24"/>
                <w:szCs w:val="24"/>
                <w:lang w:val="en-US" w:eastAsia="zh-CN"/>
              </w:rPr>
              <w:t>3个月内</w:t>
            </w: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。</w:t>
            </w:r>
          </w:p>
          <w:p w14:paraId="1345A528">
            <w:pPr>
              <w:keepNext w:val="0"/>
              <w:keepLines w:val="0"/>
              <w:pageBreakBefore w:val="0"/>
              <w:widowControl w:val="0"/>
              <w:tabs>
                <w:tab w:val="left" w:pos="6915"/>
              </w:tabs>
              <w:kinsoku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宋体" w:hAnsi="宋体"/>
                <w:b w:val="0"/>
                <w:bCs/>
                <w:sz w:val="24"/>
                <w:szCs w:val="24"/>
              </w:rPr>
            </w:pPr>
            <w:r>
              <w:rPr>
                <w:rFonts w:ascii="宋体" w:hAnsi="宋体"/>
                <w:b/>
                <w:bCs w:val="0"/>
                <w:sz w:val="24"/>
                <w:szCs w:val="24"/>
              </w:rPr>
              <w:t>交付进度</w:t>
            </w:r>
            <w:r>
              <w:rPr>
                <w:rFonts w:hint="eastAsia" w:ascii="宋体" w:hAnsi="宋体"/>
                <w:b/>
                <w:bCs w:val="0"/>
                <w:sz w:val="24"/>
                <w:szCs w:val="24"/>
              </w:rPr>
              <w:t>：</w:t>
            </w:r>
            <w:r>
              <w:rPr>
                <w:rFonts w:ascii="宋体" w:hAnsi="宋体"/>
                <w:b w:val="0"/>
                <w:bCs/>
                <w:sz w:val="24"/>
                <w:szCs w:val="24"/>
              </w:rPr>
              <w:t>一次性交付。</w:t>
            </w:r>
          </w:p>
          <w:p w14:paraId="1D80D803">
            <w:pPr>
              <w:keepNext w:val="0"/>
              <w:keepLines w:val="0"/>
              <w:pageBreakBefore w:val="0"/>
              <w:widowControl w:val="0"/>
              <w:tabs>
                <w:tab w:val="left" w:pos="6915"/>
              </w:tabs>
              <w:kinsoku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宋体" w:hAnsi="宋体"/>
                <w:b w:val="0"/>
                <w:bCs/>
                <w:sz w:val="24"/>
                <w:szCs w:val="24"/>
              </w:rPr>
            </w:pPr>
            <w:r>
              <w:rPr>
                <w:rFonts w:ascii="宋体" w:hAnsi="宋体"/>
                <w:b/>
                <w:bCs w:val="0"/>
                <w:sz w:val="24"/>
                <w:szCs w:val="24"/>
              </w:rPr>
              <w:t>付款方式</w:t>
            </w:r>
            <w:r>
              <w:rPr>
                <w:rFonts w:hint="eastAsia" w:ascii="宋体" w:hAnsi="宋体"/>
                <w:b/>
                <w:bCs w:val="0"/>
                <w:sz w:val="24"/>
                <w:szCs w:val="24"/>
              </w:rPr>
              <w:t>：</w:t>
            </w:r>
            <w:r>
              <w:rPr>
                <w:rFonts w:hint="eastAsia" w:ascii="宋体" w:hAnsi="宋体"/>
                <w:b w:val="0"/>
                <w:bCs/>
                <w:sz w:val="24"/>
                <w:szCs w:val="24"/>
                <w:lang w:val="en-US" w:eastAsia="zh-CN"/>
              </w:rPr>
              <w:t>签订合同后预付40%，货到验收合格后付清</w:t>
            </w: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尾款。</w:t>
            </w:r>
          </w:p>
          <w:p w14:paraId="65AF4FEC">
            <w:pPr>
              <w:keepNext w:val="0"/>
              <w:keepLines w:val="0"/>
              <w:pageBreakBefore w:val="0"/>
              <w:widowControl w:val="0"/>
              <w:tabs>
                <w:tab w:val="left" w:pos="6915"/>
              </w:tabs>
              <w:kinsoku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="宋体" w:hAnsi="宋体" w:eastAsiaTheme="minorEastAsia"/>
                <w:b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bCs w:val="0"/>
                <w:sz w:val="24"/>
                <w:szCs w:val="24"/>
                <w:lang w:val="en-US" w:eastAsia="zh-CN"/>
              </w:rPr>
              <w:t>验收指标及验收要求：</w:t>
            </w:r>
          </w:p>
          <w:p w14:paraId="7B527963"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6915"/>
              </w:tabs>
              <w:kinsoku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Chars="0"/>
              <w:jc w:val="left"/>
              <w:textAlignment w:val="auto"/>
              <w:rPr>
                <w:rFonts w:hint="default" w:ascii="宋体" w:hAnsi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/>
                <w:b w:val="0"/>
                <w:bCs/>
                <w:sz w:val="24"/>
                <w:szCs w:val="24"/>
                <w:lang w:val="en-US" w:eastAsia="zh-CN"/>
              </w:rPr>
              <w:t>1. 供应商须提供采购人认可的测试大纲，根据测试大纲进行出厂检测，报告需包含技术要求中的所有指标。</w:t>
            </w:r>
          </w:p>
          <w:p w14:paraId="5B24C940"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6915"/>
              </w:tabs>
              <w:kinsoku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Chars="0"/>
              <w:jc w:val="left"/>
              <w:textAlignment w:val="auto"/>
              <w:rPr>
                <w:rFonts w:hint="default" w:ascii="宋体" w:hAnsi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/>
                <w:b w:val="0"/>
                <w:bCs/>
                <w:sz w:val="24"/>
                <w:szCs w:val="24"/>
                <w:lang w:val="en-US" w:eastAsia="zh-CN"/>
              </w:rPr>
              <w:t>2. 现场验收，测试功能和指标满足技术要求。</w:t>
            </w:r>
          </w:p>
          <w:p w14:paraId="63AD49D0"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6915"/>
              </w:tabs>
              <w:kinsoku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Chars="0"/>
              <w:jc w:val="left"/>
              <w:textAlignment w:val="auto"/>
              <w:rPr>
                <w:rFonts w:hint="default" w:ascii="宋体" w:hAnsi="宋体"/>
                <w:b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/>
                <w:b/>
                <w:bCs w:val="0"/>
                <w:sz w:val="24"/>
                <w:szCs w:val="24"/>
                <w:lang w:val="en-US" w:eastAsia="zh-CN"/>
              </w:rPr>
              <w:t>保修及售后服务：</w:t>
            </w:r>
          </w:p>
          <w:p w14:paraId="5356A235"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6915"/>
              </w:tabs>
              <w:kinsoku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Chars="0"/>
              <w:jc w:val="left"/>
              <w:textAlignment w:val="auto"/>
              <w:rPr>
                <w:rFonts w:hint="default" w:ascii="宋体" w:hAnsi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/>
                <w:b w:val="0"/>
                <w:bCs/>
                <w:sz w:val="24"/>
                <w:szCs w:val="24"/>
                <w:lang w:val="en-US" w:eastAsia="zh-CN"/>
              </w:rPr>
              <w:t>系统验收后应提供不少于24个月的软件维护服务，内容包括缺陷修复、系统运行支持、必要的小版本升级、技术咨询和远程/现场支持。</w:t>
            </w:r>
          </w:p>
          <w:p w14:paraId="57323D20"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6915"/>
              </w:tabs>
              <w:kinsoku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Chars="0"/>
              <w:jc w:val="left"/>
              <w:textAlignment w:val="auto"/>
              <w:rPr>
                <w:rFonts w:hint="default" w:ascii="宋体" w:hAnsi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/>
                <w:b/>
                <w:bCs w:val="0"/>
                <w:sz w:val="24"/>
                <w:szCs w:val="24"/>
                <w:lang w:val="en-US" w:eastAsia="zh-CN"/>
              </w:rPr>
              <w:t>其它：</w:t>
            </w:r>
          </w:p>
          <w:p w14:paraId="6C98D001"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6915"/>
              </w:tabs>
              <w:kinsoku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Chars="0"/>
              <w:jc w:val="left"/>
              <w:textAlignment w:val="auto"/>
              <w:rPr>
                <w:rFonts w:hint="eastAsia" w:ascii="宋体" w:hAnsi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/>
                <w:b w:val="0"/>
                <w:bCs/>
                <w:sz w:val="24"/>
                <w:szCs w:val="24"/>
                <w:lang w:val="en-US" w:eastAsia="zh-CN"/>
              </w:rPr>
              <w:t>1. 承担单位应具备科研数据管理系统、科学装置数据管理系统或同类软件系统开发经验，具有相关软件著作权、专利、项目案例或技术积累者优先。</w:t>
            </w:r>
          </w:p>
        </w:tc>
        <w:tc>
          <w:tcPr>
            <w:tcW w:w="1201" w:type="dxa"/>
            <w:vAlign w:val="center"/>
          </w:tcPr>
          <w:p w14:paraId="5D3E4FB5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643744E8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</w:tr>
    </w:tbl>
    <w:p w14:paraId="3A513D56">
      <w:pPr>
        <w:wordWrap w:val="0"/>
        <w:ind w:right="840"/>
        <w:jc w:val="righ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</w:t>
      </w:r>
    </w:p>
    <w:p w14:paraId="00BC0982">
      <w:pPr>
        <w:wordWrap w:val="0"/>
        <w:ind w:right="840"/>
        <w:jc w:val="right"/>
        <w:rPr>
          <w:rFonts w:hint="default" w:eastAsiaTheme="minorEastAsia"/>
          <w:sz w:val="24"/>
          <w:szCs w:val="24"/>
          <w:lang w:val="en-US" w:eastAsia="zh-CN"/>
        </w:rPr>
      </w:pPr>
      <w:r>
        <w:rPr>
          <w:sz w:val="24"/>
          <w:szCs w:val="24"/>
        </w:rPr>
        <w:t>公司名称</w:t>
      </w:r>
      <w:r>
        <w:rPr>
          <w:rFonts w:hint="eastAsia"/>
          <w:sz w:val="24"/>
          <w:szCs w:val="24"/>
        </w:rPr>
        <w:t>（盖章）：</w:t>
      </w:r>
      <w:r>
        <w:rPr>
          <w:rFonts w:hint="eastAsia"/>
          <w:sz w:val="24"/>
          <w:szCs w:val="24"/>
        </w:rPr>
        <w:br w:type="textWrapping"/>
      </w:r>
      <w:r>
        <w:rPr>
          <w:sz w:val="24"/>
          <w:szCs w:val="24"/>
        </w:rPr>
        <w:t>日期</w:t>
      </w:r>
      <w:r>
        <w:rPr>
          <w:rFonts w:hint="eastAsia"/>
          <w:sz w:val="24"/>
          <w:szCs w:val="24"/>
        </w:rPr>
        <w:t>：</w:t>
      </w:r>
      <w:r>
        <w:rPr>
          <w:rFonts w:hint="eastAsia"/>
          <w:sz w:val="24"/>
          <w:szCs w:val="24"/>
          <w:lang w:val="en-US" w:eastAsia="zh-CN"/>
        </w:rPr>
        <w:t xml:space="preserve">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汉仪书宋二简">
    <w:panose1 w:val="02010600000101010101"/>
    <w:charset w:val="86"/>
    <w:family w:val="auto"/>
    <w:pitch w:val="default"/>
    <w:sig w:usb0="00000001" w:usb1="080E0800" w:usb2="00000002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EF6C24"/>
    <w:rsid w:val="03906C14"/>
    <w:rsid w:val="04EF6C24"/>
    <w:rsid w:val="230C3504"/>
    <w:rsid w:val="38C84348"/>
    <w:rsid w:val="40620CE9"/>
    <w:rsid w:val="41A921BE"/>
    <w:rsid w:val="4D403FED"/>
    <w:rsid w:val="56137BF2"/>
    <w:rsid w:val="582022AB"/>
    <w:rsid w:val="5906339C"/>
    <w:rsid w:val="5DFF120B"/>
    <w:rsid w:val="60854C98"/>
    <w:rsid w:val="7EF22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339</Words>
  <Characters>374</Characters>
  <Lines>0</Lines>
  <Paragraphs>0</Paragraphs>
  <TotalTime>0</TotalTime>
  <ScaleCrop>false</ScaleCrop>
  <LinksUpToDate>false</LinksUpToDate>
  <CharactersWithSpaces>380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2026-07-17T08:11:00Z</dcterms:created>
  <dc:creator>DELL</dc:creator>
  <cp:lastModifiedBy>王小宇</cp:lastModifiedBy>
  <dcterms:modified xsi:type="dcterms:W3CDTF">2026-09-10T10:34:11Z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A751FA6BB0134D3080F3EAB4AD484673_13</vt:lpwstr>
  </property>
  <property fmtid="{D5CDD505-2E9C-101B-9397-08002B2CF9AE}" pid="4" name="KSOTemplateDocerSaveRecord">
    <vt:lpwstr>eyJoZGlkIjoiN2RmNGQ2MDc0ZGFiNmIyNjNmMmJiNzcxMzg1OWQzY2YiLCJ1c2VySWQiOiIxNzkyMjQ5NTEzIn0=</vt:lpwstr>
  </property>
</Properties>
</file>