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主体建筑天桥减振阻尼系统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53C1A0F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为满足主体建筑微振动的技术要求，需采购2套减振阻尼系统，包括4个调频质量阻尼器（TMD）和4个弹簧阻尼支座，用于主体建筑2座天桥的振动控制。</w:t>
            </w:r>
          </w:p>
          <w:p w14:paraId="7C1DD321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调频质量阻尼器（TMD）：单个质量块重量1000kg，固有频率3.6Hz，阻尼比6%。</w:t>
            </w:r>
          </w:p>
          <w:p w14:paraId="1C1FA6E0">
            <w:pPr>
              <w:numPr>
                <w:ilvl w:val="0"/>
                <w:numId w:val="1"/>
              </w:num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弹簧阻尼支座</w:t>
            </w:r>
          </w:p>
          <w:p w14:paraId="2928119D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1. 本支座为长方形钢弹簧阻尼支座，单个竖向设计承载力 340kN； </w:t>
            </w:r>
          </w:p>
          <w:p w14:paraId="3B74C92D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2. 单个支座总刚度为 20604N/mm； </w:t>
            </w:r>
          </w:p>
          <w:p w14:paraId="64D4DCD7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3. 支座阻尼比不得小于8%； </w:t>
            </w:r>
          </w:p>
          <w:p w14:paraId="465EA438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4. 接口及支座尺寸可根据现场实测情况调整。</w:t>
            </w:r>
          </w:p>
          <w:p w14:paraId="02713C3B">
            <w:pPr>
              <w:jc w:val="center"/>
            </w:pPr>
            <w:r>
              <w:drawing>
                <wp:inline distT="0" distB="0" distL="114300" distR="114300">
                  <wp:extent cx="5266690" cy="3127375"/>
                  <wp:effectExtent l="0" t="0" r="10160" b="158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12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C6E7D1">
            <w:pPr>
              <w:ind w:firstLine="420" w:firstLineChars="200"/>
              <w:jc w:val="center"/>
            </w:pPr>
            <w:r>
              <w:rPr>
                <w:rFonts w:hint="eastAsia"/>
              </w:rPr>
              <w:t>弹簧支座图</w:t>
            </w:r>
          </w:p>
          <w:p w14:paraId="047A1157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58DAC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ascii="宋体" w:hAnsi="宋体"/>
                <w:b w:val="0"/>
                <w:bCs/>
                <w:szCs w:val="21"/>
              </w:rPr>
              <w:t>40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天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内</w:t>
            </w:r>
          </w:p>
          <w:p w14:paraId="78B8115B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</w:rPr>
              <w:t>合同签订后</w:t>
            </w:r>
            <w:r>
              <w:t>40</w:t>
            </w:r>
            <w:r>
              <w:rPr>
                <w:rFonts w:hint="eastAsia"/>
                <w:bCs/>
                <w:szCs w:val="21"/>
              </w:rPr>
              <w:t>天内全部到货。</w:t>
            </w:r>
          </w:p>
          <w:p w14:paraId="2C27D1E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/>
                <w:bCs/>
                <w:szCs w:val="21"/>
              </w:rPr>
              <w:t>预付合同总额</w:t>
            </w:r>
            <w:r>
              <w:rPr>
                <w:bCs/>
                <w:szCs w:val="21"/>
              </w:rPr>
              <w:t>5</w:t>
            </w:r>
            <w:r>
              <w:rPr>
                <w:rFonts w:hint="eastAsia"/>
                <w:bCs/>
                <w:szCs w:val="21"/>
              </w:rPr>
              <w:t>0%，全部货物到货后并经甲方验收合格后付清尾款5</w:t>
            </w:r>
            <w:r>
              <w:rPr>
                <w:bCs/>
                <w:szCs w:val="21"/>
              </w:rPr>
              <w:t>0%</w:t>
            </w:r>
            <w:r>
              <w:rPr>
                <w:rFonts w:hint="eastAsia"/>
                <w:bCs/>
                <w:szCs w:val="21"/>
              </w:rPr>
              <w:t>。</w:t>
            </w:r>
          </w:p>
          <w:p w14:paraId="557A8823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bCs/>
                <w:szCs w:val="21"/>
              </w:rPr>
              <w:t>验收期间，货物数量、尺寸等与上述要求及图纸不符的，或存在质量问题的，乙方应在接到甲方异议之日起3个工作日内更换合格产品重新交付至甲方指定地点，并承担因此而发生的费用。</w:t>
            </w:r>
          </w:p>
          <w:p w14:paraId="1015DEA6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</w:rPr>
              <w:t>合同签订后</w:t>
            </w:r>
            <w:r>
              <w:t>40</w:t>
            </w:r>
            <w:r>
              <w:rPr>
                <w:rFonts w:hint="eastAsia"/>
              </w:rPr>
              <w:t>天内，全部</w:t>
            </w:r>
            <w:r>
              <w:rPr>
                <w:rFonts w:hint="eastAsia"/>
                <w:bCs/>
                <w:szCs w:val="21"/>
              </w:rPr>
              <w:t>货物</w:t>
            </w:r>
            <w:r>
              <w:rPr>
                <w:rFonts w:hint="eastAsia"/>
              </w:rPr>
              <w:t>到货验收合格。</w:t>
            </w:r>
          </w:p>
          <w:p w14:paraId="33C877A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bCs/>
                <w:szCs w:val="21"/>
              </w:rPr>
              <w:t>产品质保期12个月内，时间自验收合格之日起算。质保期内货物出现质量问题的，乙方应自接到甲方异议之日起5个工作日内以更换等方式解决，因此所发生的费用由乙方承担。乙方提供必要的技术咨询以确保甲方能安全、有效的使用标的货物。</w:t>
            </w:r>
          </w:p>
          <w:p w14:paraId="03C187F6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  <w:r>
              <w:rPr>
                <w:rFonts w:hint="eastAsia" w:ascii="宋体" w:hAnsi="宋体" w:cs="宋体"/>
                <w:szCs w:val="21"/>
                <w:lang w:bidi="ar"/>
              </w:rPr>
              <w:t>费</w:t>
            </w:r>
            <w:r>
              <w:rPr>
                <w:rFonts w:hint="eastAsia"/>
                <w:bCs/>
                <w:szCs w:val="21"/>
              </w:rPr>
              <w:t>用包括深化设计、检测、运输及现场指导等；所有产品出厂前需经检测，检测结果与设计指标相差不得大于10%，且承载力不得小于设计要求。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70F28A"/>
    <w:multiLevelType w:val="singleLevel"/>
    <w:tmpl w:val="3870F28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59904C06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2026-05-14T03:10:51Z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