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9955E">
      <w:pPr>
        <w:jc w:val="center"/>
        <w:rPr>
          <w:sz w:val="36"/>
        </w:rPr>
      </w:pPr>
      <w:r>
        <w:rPr>
          <w:sz w:val="36"/>
        </w:rPr>
        <w:t>中国科学技术大学国家同步辐射实验室</w:t>
      </w:r>
    </w:p>
    <w:p w14:paraId="0973E65B">
      <w:pPr>
        <w:jc w:val="center"/>
        <w:rPr>
          <w:sz w:val="36"/>
        </w:rPr>
      </w:pPr>
      <w:r>
        <w:rPr>
          <w:rFonts w:hint="eastAsia"/>
          <w:sz w:val="36"/>
        </w:rPr>
        <w:t>技术指标供应商确认表</w:t>
      </w:r>
    </w:p>
    <w:p w14:paraId="3E58F52B"/>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22"/>
        <w:gridCol w:w="5244"/>
        <w:gridCol w:w="1418"/>
        <w:gridCol w:w="992"/>
      </w:tblGrid>
      <w:tr w14:paraId="3979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05" w:type="dxa"/>
            <w:vAlign w:val="center"/>
          </w:tcPr>
          <w:p w14:paraId="75C250BA">
            <w:pPr>
              <w:spacing w:line="240" w:lineRule="atLeast"/>
              <w:jc w:val="center"/>
              <w:rPr>
                <w:sz w:val="22"/>
              </w:rPr>
            </w:pPr>
            <w:r>
              <w:rPr>
                <w:rFonts w:hint="eastAsia"/>
                <w:sz w:val="22"/>
              </w:rPr>
              <w:t>序号</w:t>
            </w:r>
          </w:p>
        </w:tc>
        <w:tc>
          <w:tcPr>
            <w:tcW w:w="1422" w:type="dxa"/>
            <w:vAlign w:val="center"/>
          </w:tcPr>
          <w:p w14:paraId="3A9FF52B">
            <w:pPr>
              <w:spacing w:line="240" w:lineRule="atLeast"/>
              <w:jc w:val="center"/>
              <w:rPr>
                <w:sz w:val="22"/>
              </w:rPr>
            </w:pPr>
            <w:r>
              <w:rPr>
                <w:rFonts w:hint="eastAsia"/>
                <w:sz w:val="22"/>
              </w:rPr>
              <w:t>名称</w:t>
            </w:r>
          </w:p>
        </w:tc>
        <w:tc>
          <w:tcPr>
            <w:tcW w:w="5244" w:type="dxa"/>
            <w:vAlign w:val="center"/>
          </w:tcPr>
          <w:p w14:paraId="258D475E">
            <w:pPr>
              <w:spacing w:line="240" w:lineRule="atLeast"/>
              <w:jc w:val="center"/>
              <w:rPr>
                <w:sz w:val="22"/>
              </w:rPr>
            </w:pPr>
            <w:r>
              <w:rPr>
                <w:rFonts w:hint="eastAsia"/>
                <w:sz w:val="22"/>
              </w:rPr>
              <w:t>技术指标</w:t>
            </w:r>
          </w:p>
        </w:tc>
        <w:tc>
          <w:tcPr>
            <w:tcW w:w="1418" w:type="dxa"/>
            <w:vAlign w:val="center"/>
          </w:tcPr>
          <w:p w14:paraId="37F7A556">
            <w:pPr>
              <w:spacing w:line="240" w:lineRule="atLeast"/>
              <w:jc w:val="center"/>
              <w:rPr>
                <w:szCs w:val="21"/>
              </w:rPr>
            </w:pPr>
            <w:r>
              <w:rPr>
                <w:rFonts w:hint="eastAsia"/>
                <w:szCs w:val="21"/>
              </w:rPr>
              <w:t>偏离说明</w:t>
            </w:r>
          </w:p>
          <w:p w14:paraId="328E92F5">
            <w:pPr>
              <w:spacing w:line="240" w:lineRule="atLeast"/>
              <w:jc w:val="center"/>
              <w:rPr>
                <w:sz w:val="24"/>
              </w:rPr>
            </w:pPr>
            <w:r>
              <w:rPr>
                <w:rFonts w:hint="eastAsia"/>
                <w:szCs w:val="21"/>
              </w:rPr>
              <w:t>(</w:t>
            </w:r>
            <w:r>
              <w:rPr>
                <w:szCs w:val="21"/>
              </w:rPr>
              <w:t>无偏离</w:t>
            </w:r>
            <w:r>
              <w:rPr>
                <w:rFonts w:hint="eastAsia"/>
                <w:szCs w:val="21"/>
              </w:rPr>
              <w:t>/</w:t>
            </w:r>
            <w:r>
              <w:rPr>
                <w:szCs w:val="21"/>
              </w:rPr>
              <w:t>正偏离</w:t>
            </w:r>
            <w:r>
              <w:rPr>
                <w:rFonts w:hint="eastAsia"/>
                <w:szCs w:val="21"/>
              </w:rPr>
              <w:t>/</w:t>
            </w:r>
            <w:r>
              <w:rPr>
                <w:szCs w:val="21"/>
              </w:rPr>
              <w:t>负偏离</w:t>
            </w:r>
            <w:r>
              <w:rPr>
                <w:rFonts w:hint="eastAsia"/>
                <w:szCs w:val="21"/>
              </w:rPr>
              <w:t>)</w:t>
            </w:r>
          </w:p>
        </w:tc>
        <w:tc>
          <w:tcPr>
            <w:tcW w:w="992" w:type="dxa"/>
            <w:vAlign w:val="center"/>
          </w:tcPr>
          <w:p w14:paraId="22A89C1E">
            <w:pPr>
              <w:spacing w:line="240" w:lineRule="atLeast"/>
              <w:jc w:val="center"/>
              <w:rPr>
                <w:sz w:val="24"/>
              </w:rPr>
            </w:pPr>
            <w:r>
              <w:rPr>
                <w:rFonts w:hint="eastAsia"/>
                <w:sz w:val="22"/>
              </w:rPr>
              <w:t>偏离值</w:t>
            </w:r>
          </w:p>
        </w:tc>
      </w:tr>
      <w:tr w14:paraId="3943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trPr>
        <w:tc>
          <w:tcPr>
            <w:tcW w:w="705" w:type="dxa"/>
            <w:vAlign w:val="center"/>
          </w:tcPr>
          <w:p w14:paraId="185CA09D">
            <w:pPr>
              <w:spacing w:line="240" w:lineRule="atLeast"/>
              <w:jc w:val="center"/>
            </w:pPr>
            <w:r>
              <w:rPr>
                <w:rFonts w:hint="eastAsia"/>
              </w:rPr>
              <w:t>1</w:t>
            </w:r>
          </w:p>
        </w:tc>
        <w:tc>
          <w:tcPr>
            <w:tcW w:w="1422" w:type="dxa"/>
            <w:tcBorders>
              <w:bottom w:val="single" w:color="auto" w:sz="4" w:space="0"/>
            </w:tcBorders>
            <w:shd w:val="clear" w:color="auto" w:fill="auto"/>
            <w:vAlign w:val="center"/>
          </w:tcPr>
          <w:p w14:paraId="110FD52C">
            <w:pPr>
              <w:widowControl/>
              <w:spacing w:line="240" w:lineRule="atLeast"/>
              <w:jc w:val="center"/>
              <w:rPr>
                <w:rFonts w:ascii="Times New Roman" w:hAnsi="Times New Roman" w:eastAsia="宋体" w:cs="Times New Roman"/>
                <w:szCs w:val="24"/>
              </w:rPr>
            </w:pPr>
            <w:r>
              <w:rPr>
                <w:rFonts w:hint="eastAsia" w:ascii="Arial" w:hAnsi="Arial" w:eastAsia="宋体" w:cs="Arial"/>
                <w:b w:val="0"/>
                <w:bCs w:val="0"/>
                <w:szCs w:val="21"/>
                <w:shd w:val="clear" w:color="auto" w:fill="FFFFFF"/>
              </w:rPr>
              <w:t>洁净棚屋吊车</w:t>
            </w:r>
          </w:p>
        </w:tc>
        <w:tc>
          <w:tcPr>
            <w:tcW w:w="5244" w:type="dxa"/>
            <w:tcBorders>
              <w:bottom w:val="single" w:color="auto" w:sz="4" w:space="0"/>
            </w:tcBorders>
            <w:shd w:val="clear" w:color="auto" w:fill="auto"/>
            <w:vAlign w:val="center"/>
          </w:tcPr>
          <w:p w14:paraId="3EB2460B">
            <w:pPr>
              <w:tabs>
                <w:tab w:val="left" w:pos="6915"/>
              </w:tabs>
              <w:jc w:val="left"/>
              <w:rPr>
                <w:rFonts w:hint="eastAsia" w:ascii="宋体" w:hAnsi="宋体" w:cs="宋体"/>
                <w:bCs/>
                <w:sz w:val="24"/>
              </w:rPr>
            </w:pPr>
            <w:r>
              <w:rPr>
                <w:rFonts w:hint="eastAsia" w:ascii="宋体" w:hAnsi="宋体" w:cs="宋体"/>
                <w:bCs/>
                <w:sz w:val="24"/>
              </w:rPr>
              <w:t>一、3.5吨龙门式吊车   1台</w:t>
            </w:r>
          </w:p>
          <w:p w14:paraId="35E1A10D">
            <w:pPr>
              <w:tabs>
                <w:tab w:val="left" w:pos="6915"/>
              </w:tabs>
              <w:jc w:val="both"/>
              <w:rPr>
                <w:rFonts w:hint="eastAsia" w:ascii="宋体" w:hAnsi="宋体" w:cs="宋体"/>
                <w:bCs/>
                <w:sz w:val="24"/>
              </w:rPr>
            </w:pPr>
            <w:r>
              <w:rPr>
                <w:rFonts w:hint="eastAsia" w:ascii="宋体" w:hAnsi="宋体" w:cs="宋体"/>
                <w:bCs/>
                <w:sz w:val="24"/>
              </w:rPr>
              <w:t>1</w:t>
            </w:r>
            <w:bookmarkStart w:id="0" w:name="OLE_LINK2"/>
            <w:r>
              <w:rPr>
                <w:rFonts w:hint="eastAsia" w:ascii="宋体" w:hAnsi="宋体" w:cs="宋体"/>
                <w:bCs/>
                <w:sz w:val="24"/>
              </w:rPr>
              <w:t xml:space="preserve">. </w:t>
            </w:r>
            <w:bookmarkStart w:id="1" w:name="OLE_LINK1"/>
            <w:r>
              <w:rPr>
                <w:rFonts w:hint="eastAsia" w:ascii="宋体" w:hAnsi="宋体" w:cs="宋体"/>
                <w:bCs/>
                <w:sz w:val="24"/>
              </w:rPr>
              <w:t>洁净度要求：吊车使用环境为ISO7级（万级），设计须</w:t>
            </w:r>
            <w:r>
              <w:rPr>
                <w:rFonts w:ascii="宋体" w:hAnsi="宋体" w:cs="宋体"/>
                <w:bCs/>
                <w:sz w:val="24"/>
              </w:rPr>
              <w:t>依据</w:t>
            </w:r>
            <w:r>
              <w:rPr>
                <w:rFonts w:hint="eastAsia" w:ascii="宋体" w:hAnsi="宋体" w:cs="宋体"/>
                <w:bCs/>
                <w:sz w:val="24"/>
              </w:rPr>
              <w:t>JB/T 14201-2022《洁净环境用桥式起重机》 —适用于GB/T 25915.1-2010规定的4级~9级洁净度等级环境中使用的起重机制造和JB/T 14200-2022《洁净环境用电动葫芦》</w:t>
            </w:r>
            <w:r>
              <w:rPr>
                <w:rFonts w:ascii="宋体" w:hAnsi="宋体" w:cs="宋体"/>
                <w:bCs/>
                <w:sz w:val="24"/>
              </w:rPr>
              <w:t>相关行业标准制定</w:t>
            </w:r>
            <w:r>
              <w:rPr>
                <w:rFonts w:hint="eastAsia" w:ascii="宋体" w:hAnsi="宋体" w:cs="宋体"/>
                <w:bCs/>
                <w:sz w:val="24"/>
              </w:rPr>
              <w:t>；</w:t>
            </w:r>
          </w:p>
          <w:p w14:paraId="2BEC3B7A">
            <w:pPr>
              <w:tabs>
                <w:tab w:val="left" w:pos="6915"/>
              </w:tabs>
              <w:jc w:val="both"/>
              <w:rPr>
                <w:rFonts w:hint="eastAsia" w:ascii="宋体" w:hAnsi="宋体" w:cs="宋体"/>
                <w:bCs/>
                <w:sz w:val="24"/>
              </w:rPr>
            </w:pPr>
            <w:r>
              <w:rPr>
                <w:rFonts w:hint="eastAsia" w:ascii="宋体" w:hAnsi="宋体" w:cs="宋体"/>
                <w:bCs/>
                <w:sz w:val="24"/>
              </w:rPr>
              <w:t>2. 吊车龙门架主体采用优质碳钢，材料表面不可有凹坑、缺陷等，喷塑色号RAL9003信号白，喷塑前乙方提供颜色小样供甲方确认无误后再加工；</w:t>
            </w:r>
          </w:p>
          <w:p w14:paraId="20B2834D">
            <w:pPr>
              <w:tabs>
                <w:tab w:val="left" w:pos="6915"/>
              </w:tabs>
              <w:jc w:val="both"/>
              <w:rPr>
                <w:rFonts w:hint="eastAsia" w:ascii="宋体" w:hAnsi="宋体" w:cs="宋体"/>
                <w:bCs/>
                <w:sz w:val="24"/>
              </w:rPr>
            </w:pPr>
            <w:r>
              <w:rPr>
                <w:rFonts w:hint="eastAsia" w:ascii="宋体" w:hAnsi="宋体" w:cs="宋体"/>
                <w:bCs/>
                <w:sz w:val="24"/>
              </w:rPr>
              <w:t xml:space="preserve">3. </w:t>
            </w:r>
            <w:r>
              <w:rPr>
                <w:rFonts w:ascii="宋体" w:hAnsi="宋体" w:cs="宋体"/>
                <w:bCs/>
                <w:sz w:val="24"/>
              </w:rPr>
              <w:t>吊车额定载重量3.</w:t>
            </w:r>
            <w:r>
              <w:rPr>
                <w:rFonts w:hint="eastAsia" w:ascii="宋体" w:hAnsi="宋体" w:cs="宋体"/>
                <w:bCs/>
                <w:sz w:val="24"/>
              </w:rPr>
              <w:t>5</w:t>
            </w:r>
            <w:r>
              <w:rPr>
                <w:rFonts w:ascii="宋体" w:hAnsi="宋体" w:cs="宋体"/>
                <w:bCs/>
                <w:sz w:val="24"/>
              </w:rPr>
              <w:t>t，整车总</w:t>
            </w:r>
            <w:r>
              <w:rPr>
                <w:rFonts w:hint="eastAsia" w:ascii="宋体" w:hAnsi="宋体" w:cs="宋体"/>
                <w:bCs/>
                <w:sz w:val="24"/>
              </w:rPr>
              <w:t>高</w:t>
            </w:r>
            <w:r>
              <w:rPr>
                <w:rFonts w:ascii="宋体" w:hAnsi="宋体" w:cs="宋体"/>
                <w:bCs/>
                <w:sz w:val="24"/>
              </w:rPr>
              <w:t>度不超过</w:t>
            </w:r>
            <w:r>
              <w:rPr>
                <w:rFonts w:hint="eastAsia" w:ascii="宋体" w:hAnsi="宋体" w:cs="宋体"/>
                <w:bCs/>
                <w:sz w:val="24"/>
              </w:rPr>
              <w:t>370</w:t>
            </w:r>
            <w:r>
              <w:rPr>
                <w:rFonts w:ascii="宋体" w:hAnsi="宋体" w:cs="宋体"/>
                <w:bCs/>
                <w:sz w:val="24"/>
              </w:rPr>
              <w:t>0mm</w:t>
            </w:r>
            <w:r>
              <w:rPr>
                <w:rFonts w:hint="eastAsia" w:ascii="宋体" w:hAnsi="宋体" w:cs="宋体"/>
                <w:bCs/>
                <w:sz w:val="24"/>
              </w:rPr>
              <w:t>，总</w:t>
            </w:r>
            <w:r>
              <w:rPr>
                <w:rFonts w:ascii="宋体" w:hAnsi="宋体" w:cs="宋体"/>
                <w:bCs/>
                <w:sz w:val="24"/>
              </w:rPr>
              <w:t>宽度不超过</w:t>
            </w:r>
            <w:r>
              <w:rPr>
                <w:rFonts w:hint="eastAsia" w:ascii="宋体" w:hAnsi="宋体" w:cs="宋体"/>
                <w:bCs/>
                <w:sz w:val="24"/>
              </w:rPr>
              <w:t>290</w:t>
            </w:r>
            <w:r>
              <w:rPr>
                <w:rFonts w:ascii="宋体" w:hAnsi="宋体" w:cs="宋体"/>
                <w:bCs/>
                <w:sz w:val="24"/>
              </w:rPr>
              <w:t>0mm，</w:t>
            </w:r>
            <w:r>
              <w:rPr>
                <w:rFonts w:hint="eastAsia" w:ascii="宋体" w:hAnsi="宋体" w:cs="宋体"/>
                <w:bCs/>
                <w:sz w:val="24"/>
              </w:rPr>
              <w:t>有效起升高度不低于2600mm，龙门内跨</w:t>
            </w:r>
            <w:r>
              <w:rPr>
                <w:rFonts w:ascii="宋体" w:hAnsi="宋体" w:cs="宋体"/>
                <w:bCs/>
                <w:sz w:val="24"/>
              </w:rPr>
              <w:t>度不</w:t>
            </w:r>
            <w:r>
              <w:rPr>
                <w:rFonts w:hint="eastAsia" w:ascii="宋体" w:hAnsi="宋体" w:cs="宋体"/>
                <w:bCs/>
                <w:sz w:val="24"/>
              </w:rPr>
              <w:t>低于2</w:t>
            </w:r>
            <w:r>
              <w:rPr>
                <w:rFonts w:ascii="宋体" w:hAnsi="宋体" w:cs="宋体"/>
                <w:bCs/>
                <w:sz w:val="24"/>
              </w:rPr>
              <w:t>000mm；</w:t>
            </w:r>
          </w:p>
          <w:p w14:paraId="7B63DB7D">
            <w:pPr>
              <w:pStyle w:val="11"/>
              <w:numPr>
                <w:ilvl w:val="0"/>
                <w:numId w:val="1"/>
              </w:numPr>
              <w:tabs>
                <w:tab w:val="left" w:pos="6915"/>
                <w:tab w:val="clear" w:pos="1428"/>
              </w:tabs>
              <w:ind w:firstLineChars="0"/>
              <w:jc w:val="both"/>
              <w:rPr>
                <w:rFonts w:hint="eastAsia" w:ascii="宋体" w:hAnsi="宋体" w:cs="宋体"/>
                <w:bCs/>
                <w:sz w:val="24"/>
              </w:rPr>
            </w:pPr>
            <w:r>
              <w:rPr>
                <w:rFonts w:ascii="宋体" w:hAnsi="宋体" w:cs="宋体"/>
                <w:bCs/>
                <w:sz w:val="24"/>
              </w:rPr>
              <w:t>吊车</w:t>
            </w:r>
            <w:r>
              <w:rPr>
                <w:rFonts w:hint="eastAsia" w:ascii="宋体" w:hAnsi="宋体" w:cs="宋体"/>
                <w:bCs/>
                <w:sz w:val="24"/>
              </w:rPr>
              <w:t>主架采用电机驱动方式，整体可以左右</w:t>
            </w:r>
            <w:r>
              <w:rPr>
                <w:rFonts w:ascii="宋体" w:hAnsi="宋体" w:cs="宋体"/>
                <w:bCs/>
                <w:sz w:val="24"/>
              </w:rPr>
              <w:t>转弯</w:t>
            </w:r>
            <w:r>
              <w:rPr>
                <w:rFonts w:hint="eastAsia" w:ascii="宋体" w:hAnsi="宋体" w:cs="宋体"/>
                <w:bCs/>
                <w:sz w:val="24"/>
              </w:rPr>
              <w:t>，</w:t>
            </w:r>
            <w:r>
              <w:rPr>
                <w:rFonts w:ascii="宋体" w:hAnsi="宋体" w:cs="宋体"/>
                <w:bCs/>
                <w:sz w:val="24"/>
              </w:rPr>
              <w:t>前进后退功能；</w:t>
            </w:r>
          </w:p>
          <w:p w14:paraId="40E8454B">
            <w:pPr>
              <w:pStyle w:val="11"/>
              <w:numPr>
                <w:ilvl w:val="0"/>
                <w:numId w:val="1"/>
              </w:numPr>
              <w:tabs>
                <w:tab w:val="left" w:pos="6915"/>
                <w:tab w:val="clear" w:pos="1428"/>
              </w:tabs>
              <w:ind w:firstLineChars="0"/>
              <w:jc w:val="both"/>
              <w:rPr>
                <w:rFonts w:hint="eastAsia" w:ascii="宋体" w:hAnsi="宋体" w:cs="宋体"/>
                <w:bCs/>
                <w:sz w:val="24"/>
              </w:rPr>
            </w:pPr>
            <w:r>
              <w:rPr>
                <w:rFonts w:ascii="宋体" w:hAnsi="宋体" w:cs="宋体"/>
                <w:bCs/>
                <w:sz w:val="24"/>
              </w:rPr>
              <w:t>升</w:t>
            </w:r>
            <w:r>
              <w:rPr>
                <w:rFonts w:hint="eastAsia" w:ascii="宋体" w:hAnsi="宋体" w:cs="宋体"/>
                <w:bCs/>
                <w:sz w:val="24"/>
              </w:rPr>
              <w:t>降</w:t>
            </w:r>
            <w:r>
              <w:rPr>
                <w:rFonts w:ascii="宋体" w:hAnsi="宋体" w:cs="宋体"/>
                <w:bCs/>
                <w:sz w:val="24"/>
              </w:rPr>
              <w:t>速度</w:t>
            </w:r>
            <w:r>
              <w:rPr>
                <w:rFonts w:hint="eastAsia" w:ascii="宋体" w:hAnsi="宋体" w:cs="宋体"/>
                <w:bCs/>
                <w:sz w:val="24"/>
              </w:rPr>
              <w:t>：带快慢档速度可调节，最</w:t>
            </w:r>
            <w:r>
              <w:rPr>
                <w:rFonts w:ascii="宋体" w:hAnsi="宋体" w:cs="宋体"/>
                <w:bCs/>
                <w:sz w:val="24"/>
              </w:rPr>
              <w:t>低</w:t>
            </w:r>
            <w:r>
              <w:rPr>
                <w:rFonts w:hint="eastAsia" w:ascii="宋体" w:hAnsi="宋体" w:cs="宋体"/>
                <w:bCs/>
                <w:sz w:val="24"/>
              </w:rPr>
              <w:t>速可调节至</w:t>
            </w:r>
            <w:r>
              <w:rPr>
                <w:rFonts w:ascii="宋体" w:hAnsi="宋体" w:cs="宋体"/>
                <w:bCs/>
                <w:sz w:val="24"/>
              </w:rPr>
              <w:t>0.</w:t>
            </w:r>
            <w:r>
              <w:rPr>
                <w:rFonts w:hint="eastAsia" w:ascii="宋体" w:hAnsi="宋体" w:cs="宋体"/>
                <w:bCs/>
                <w:sz w:val="24"/>
              </w:rPr>
              <w:t>3</w:t>
            </w:r>
            <w:r>
              <w:rPr>
                <w:rFonts w:ascii="宋体" w:hAnsi="宋体" w:cs="宋体"/>
                <w:bCs/>
                <w:sz w:val="24"/>
              </w:rPr>
              <w:t>m/</w:t>
            </w:r>
            <w:r>
              <w:rPr>
                <w:rFonts w:hint="eastAsia" w:ascii="宋体" w:hAnsi="宋体" w:cs="宋体"/>
                <w:bCs/>
                <w:sz w:val="24"/>
              </w:rPr>
              <w:t>min</w:t>
            </w:r>
            <w:r>
              <w:rPr>
                <w:rFonts w:ascii="宋体" w:hAnsi="宋体" w:cs="宋体"/>
                <w:bCs/>
                <w:sz w:val="24"/>
              </w:rPr>
              <w:t>，</w:t>
            </w:r>
            <w:r>
              <w:rPr>
                <w:rFonts w:hint="eastAsia" w:ascii="宋体" w:hAnsi="宋体" w:cs="宋体"/>
                <w:bCs/>
                <w:sz w:val="24"/>
              </w:rPr>
              <w:t>伺服控制；</w:t>
            </w:r>
            <w:r>
              <w:rPr>
                <w:rFonts w:ascii="宋体" w:hAnsi="宋体" w:cs="宋体"/>
                <w:bCs/>
                <w:sz w:val="24"/>
              </w:rPr>
              <w:t>具备微速功能和寸动功能，确保精确定位</w:t>
            </w:r>
            <w:r>
              <w:rPr>
                <w:rFonts w:hint="eastAsia" w:ascii="宋体" w:hAnsi="宋体" w:cs="宋体"/>
                <w:bCs/>
                <w:sz w:val="24"/>
              </w:rPr>
              <w:t>；</w:t>
            </w:r>
            <w:r>
              <w:rPr>
                <w:rFonts w:ascii="宋体" w:hAnsi="宋体" w:cs="宋体"/>
                <w:bCs/>
                <w:sz w:val="24"/>
              </w:rPr>
              <w:t>具备零速悬停（防溜钩）功能；</w:t>
            </w:r>
          </w:p>
          <w:p w14:paraId="29B723E4">
            <w:pPr>
              <w:numPr>
                <w:ilvl w:val="0"/>
                <w:numId w:val="1"/>
              </w:numPr>
              <w:tabs>
                <w:tab w:val="left" w:pos="6915"/>
              </w:tabs>
              <w:jc w:val="both"/>
              <w:rPr>
                <w:rFonts w:hint="eastAsia" w:ascii="宋体" w:hAnsi="宋体" w:cs="宋体"/>
                <w:bCs/>
                <w:sz w:val="24"/>
              </w:rPr>
            </w:pPr>
            <w:r>
              <w:rPr>
                <w:rFonts w:hint="eastAsia" w:ascii="宋体" w:hAnsi="宋体" w:cs="宋体"/>
                <w:bCs/>
                <w:sz w:val="24"/>
              </w:rPr>
              <w:t>小车运行速度：带快慢档速度可调节，最</w:t>
            </w:r>
            <w:r>
              <w:rPr>
                <w:rFonts w:ascii="宋体" w:hAnsi="宋体" w:cs="宋体"/>
                <w:bCs/>
                <w:sz w:val="24"/>
              </w:rPr>
              <w:t>低</w:t>
            </w:r>
            <w:r>
              <w:rPr>
                <w:rFonts w:hint="eastAsia" w:ascii="宋体" w:hAnsi="宋体" w:cs="宋体"/>
                <w:bCs/>
                <w:sz w:val="24"/>
              </w:rPr>
              <w:t>速可调节至1</w:t>
            </w:r>
            <w:r>
              <w:rPr>
                <w:rFonts w:ascii="宋体" w:hAnsi="宋体" w:cs="宋体"/>
                <w:bCs/>
                <w:sz w:val="24"/>
              </w:rPr>
              <w:t>m/</w:t>
            </w:r>
            <w:r>
              <w:rPr>
                <w:rFonts w:hint="eastAsia" w:ascii="宋体" w:hAnsi="宋体" w:cs="宋体"/>
                <w:bCs/>
                <w:sz w:val="24"/>
              </w:rPr>
              <w:t xml:space="preserve"> min，伺服控制；</w:t>
            </w:r>
          </w:p>
          <w:p w14:paraId="71E8ACE7">
            <w:pPr>
              <w:numPr>
                <w:ilvl w:val="0"/>
                <w:numId w:val="1"/>
              </w:numPr>
              <w:tabs>
                <w:tab w:val="left" w:pos="6915"/>
              </w:tabs>
              <w:jc w:val="both"/>
              <w:rPr>
                <w:rFonts w:hint="eastAsia" w:ascii="宋体" w:hAnsi="宋体" w:cs="宋体"/>
                <w:bCs/>
                <w:sz w:val="24"/>
              </w:rPr>
            </w:pPr>
            <w:r>
              <w:rPr>
                <w:rFonts w:hint="eastAsia" w:ascii="宋体" w:hAnsi="宋体" w:cs="宋体"/>
                <w:bCs/>
                <w:sz w:val="24"/>
              </w:rPr>
              <w:t>龙门架运行速度：带快慢档速度可调节，最</w:t>
            </w:r>
            <w:r>
              <w:rPr>
                <w:rFonts w:ascii="宋体" w:hAnsi="宋体" w:cs="宋体"/>
                <w:bCs/>
                <w:sz w:val="24"/>
              </w:rPr>
              <w:t>低</w:t>
            </w:r>
            <w:r>
              <w:rPr>
                <w:rFonts w:hint="eastAsia" w:ascii="宋体" w:hAnsi="宋体" w:cs="宋体"/>
                <w:bCs/>
                <w:sz w:val="24"/>
              </w:rPr>
              <w:t>速可调节至1.5</w:t>
            </w:r>
            <w:r>
              <w:rPr>
                <w:rFonts w:ascii="宋体" w:hAnsi="宋体" w:cs="宋体"/>
                <w:bCs/>
                <w:sz w:val="24"/>
              </w:rPr>
              <w:t>m/</w:t>
            </w:r>
            <w:r>
              <w:rPr>
                <w:rFonts w:hint="eastAsia" w:ascii="宋体" w:hAnsi="宋体" w:cs="宋体"/>
                <w:bCs/>
                <w:sz w:val="24"/>
              </w:rPr>
              <w:t xml:space="preserve"> min，伺服控制；</w:t>
            </w:r>
          </w:p>
          <w:p w14:paraId="063E1A46">
            <w:pPr>
              <w:numPr>
                <w:ilvl w:val="0"/>
                <w:numId w:val="1"/>
              </w:numPr>
              <w:tabs>
                <w:tab w:val="left" w:pos="6915"/>
              </w:tabs>
              <w:jc w:val="both"/>
              <w:rPr>
                <w:rFonts w:hint="eastAsia" w:ascii="宋体" w:hAnsi="宋体" w:cs="宋体"/>
                <w:bCs/>
                <w:sz w:val="24"/>
              </w:rPr>
            </w:pPr>
            <w:r>
              <w:rPr>
                <w:rFonts w:hint="eastAsia" w:ascii="宋体" w:hAnsi="宋体" w:cs="宋体"/>
                <w:bCs/>
                <w:sz w:val="24"/>
              </w:rPr>
              <w:t>大车、小车带负载移动时须具备电子防摇摆功能；</w:t>
            </w:r>
          </w:p>
          <w:p w14:paraId="1782A8C1">
            <w:pPr>
              <w:numPr>
                <w:ilvl w:val="0"/>
                <w:numId w:val="1"/>
              </w:numPr>
              <w:tabs>
                <w:tab w:val="left" w:pos="6915"/>
              </w:tabs>
              <w:jc w:val="both"/>
              <w:rPr>
                <w:rFonts w:hint="eastAsia" w:ascii="宋体" w:hAnsi="宋体" w:cs="宋体"/>
                <w:bCs/>
                <w:sz w:val="24"/>
              </w:rPr>
            </w:pPr>
            <w:r>
              <w:rPr>
                <w:rFonts w:hint="eastAsia" w:ascii="宋体" w:hAnsi="宋体" w:cs="宋体"/>
                <w:bCs/>
                <w:sz w:val="24"/>
              </w:rPr>
              <w:t>吊车操控采用无线遥控方式，遥控器带一键急停功能；</w:t>
            </w:r>
          </w:p>
          <w:p w14:paraId="0A90A5DF">
            <w:pPr>
              <w:numPr>
                <w:ilvl w:val="0"/>
                <w:numId w:val="0"/>
              </w:numPr>
              <w:tabs>
                <w:tab w:val="left" w:pos="6915"/>
              </w:tabs>
              <w:ind w:leftChars="0"/>
              <w:jc w:val="both"/>
              <w:rPr>
                <w:rFonts w:hint="eastAsia" w:ascii="宋体" w:hAnsi="宋体" w:cs="宋体"/>
                <w:bCs/>
                <w:sz w:val="24"/>
              </w:rPr>
            </w:pPr>
            <w:bookmarkStart w:id="2" w:name="OLE_LINK9"/>
            <w:r>
              <w:rPr>
                <w:rFonts w:hint="eastAsia" w:ascii="宋体" w:hAnsi="宋体" w:cs="宋体"/>
                <w:bCs/>
                <w:sz w:val="24"/>
                <w:lang w:val="en-US" w:eastAsia="zh-CN"/>
              </w:rPr>
              <w:t>10.</w:t>
            </w:r>
            <w:r>
              <w:rPr>
                <w:rFonts w:hint="eastAsia" w:ascii="宋体" w:hAnsi="宋体" w:cs="宋体"/>
                <w:bCs/>
                <w:sz w:val="24"/>
              </w:rPr>
              <w:t>龙门架</w:t>
            </w:r>
            <w:r>
              <w:rPr>
                <w:rFonts w:ascii="宋体" w:hAnsi="宋体" w:cs="宋体"/>
                <w:bCs/>
                <w:sz w:val="24"/>
              </w:rPr>
              <w:t>驱动轮</w:t>
            </w:r>
            <w:r>
              <w:rPr>
                <w:rFonts w:hint="eastAsia" w:ascii="宋体" w:hAnsi="宋体" w:cs="宋体"/>
                <w:bCs/>
                <w:sz w:val="24"/>
              </w:rPr>
              <w:t>和万向轮须满足在金刚砂地面及PVC地面行走时不出现轮胎打滑和损伤地面</w:t>
            </w:r>
            <w:r>
              <w:rPr>
                <w:rFonts w:ascii="宋体" w:hAnsi="宋体" w:cs="宋体"/>
                <w:bCs/>
                <w:sz w:val="24"/>
              </w:rPr>
              <w:t>；</w:t>
            </w:r>
          </w:p>
          <w:bookmarkEnd w:id="2"/>
          <w:p w14:paraId="6A380080">
            <w:pPr>
              <w:pStyle w:val="11"/>
              <w:numPr>
                <w:ilvl w:val="0"/>
                <w:numId w:val="0"/>
              </w:numPr>
              <w:tabs>
                <w:tab w:val="left" w:pos="6915"/>
                <w:tab w:val="clear" w:pos="1428"/>
              </w:tabs>
              <w:ind w:leftChars="0"/>
              <w:jc w:val="both"/>
              <w:rPr>
                <w:rFonts w:hint="eastAsia" w:ascii="宋体" w:hAnsi="宋体" w:cs="宋体"/>
                <w:bCs/>
                <w:sz w:val="24"/>
              </w:rPr>
            </w:pPr>
            <w:r>
              <w:rPr>
                <w:rFonts w:hint="eastAsia" w:ascii="宋体" w:hAnsi="宋体" w:cs="宋体"/>
                <w:bCs/>
                <w:sz w:val="24"/>
                <w:lang w:val="en-US" w:eastAsia="zh-CN"/>
              </w:rPr>
              <w:t>11.</w:t>
            </w:r>
            <w:r>
              <w:rPr>
                <w:rFonts w:ascii="宋体" w:hAnsi="宋体" w:cs="宋体"/>
                <w:bCs/>
                <w:sz w:val="24"/>
              </w:rPr>
              <w:t>其它标配；</w:t>
            </w:r>
          </w:p>
          <w:p w14:paraId="778844E2">
            <w:pPr>
              <w:pStyle w:val="11"/>
              <w:numPr>
                <w:ilvl w:val="0"/>
                <w:numId w:val="0"/>
              </w:numPr>
              <w:tabs>
                <w:tab w:val="left" w:pos="6915"/>
                <w:tab w:val="clear" w:pos="1428"/>
              </w:tabs>
              <w:ind w:leftChars="0"/>
              <w:jc w:val="both"/>
              <w:rPr>
                <w:rFonts w:hint="eastAsia" w:ascii="宋体" w:hAnsi="宋体" w:cs="宋体"/>
                <w:bCs/>
                <w:sz w:val="24"/>
              </w:rPr>
            </w:pPr>
            <w:r>
              <w:rPr>
                <w:rFonts w:hint="eastAsia" w:ascii="宋体" w:hAnsi="宋体" w:cs="宋体"/>
                <w:bCs/>
                <w:sz w:val="24"/>
                <w:lang w:val="en-US" w:eastAsia="zh-CN"/>
              </w:rPr>
              <w:t>12.</w:t>
            </w:r>
            <w:r>
              <w:rPr>
                <w:rFonts w:hint="eastAsia" w:ascii="宋体" w:hAnsi="宋体" w:cs="宋体"/>
                <w:bCs/>
                <w:sz w:val="24"/>
              </w:rPr>
              <w:t>传动润滑部分：整机采用无油化或低发尘油脂处理，轴承等部件应清洗达到无油或低挥发状态，齿轮等部件应采用低发尘洁净室专用油脂或真空环境内专用润滑油脂；</w:t>
            </w:r>
          </w:p>
          <w:p w14:paraId="41C7887D">
            <w:pPr>
              <w:pStyle w:val="11"/>
              <w:numPr>
                <w:ilvl w:val="0"/>
                <w:numId w:val="0"/>
              </w:numPr>
              <w:tabs>
                <w:tab w:val="left" w:pos="6915"/>
                <w:tab w:val="clear" w:pos="1428"/>
              </w:tabs>
              <w:ind w:leftChars="0"/>
              <w:jc w:val="both"/>
              <w:rPr>
                <w:rFonts w:hint="eastAsia" w:ascii="宋体" w:hAnsi="宋体" w:cs="宋体"/>
                <w:bCs/>
                <w:sz w:val="24"/>
              </w:rPr>
            </w:pPr>
            <w:bookmarkStart w:id="3" w:name="OLE_LINK16"/>
            <w:r>
              <w:rPr>
                <w:rFonts w:hint="eastAsia" w:ascii="宋体" w:hAnsi="宋体" w:cs="宋体"/>
                <w:bCs/>
                <w:sz w:val="24"/>
                <w:lang w:val="en-US" w:eastAsia="zh-CN"/>
              </w:rPr>
              <w:t>13.</w:t>
            </w:r>
            <w:r>
              <w:rPr>
                <w:rFonts w:ascii="宋体" w:hAnsi="宋体" w:cs="宋体"/>
                <w:bCs/>
                <w:sz w:val="24"/>
              </w:rPr>
              <w:t>安全性要求</w:t>
            </w:r>
            <w:r>
              <w:rPr>
                <w:rFonts w:hint="eastAsia" w:ascii="宋体" w:hAnsi="宋体" w:cs="宋体"/>
                <w:bCs/>
                <w:sz w:val="24"/>
              </w:rPr>
              <w:t>：</w:t>
            </w:r>
            <w:r>
              <w:rPr>
                <w:rFonts w:ascii="宋体" w:hAnsi="宋体" w:cs="宋体"/>
                <w:bCs/>
                <w:sz w:val="24"/>
              </w:rPr>
              <w:t>控制系统应符合洁净室使用标准，避免产生电磁干扰</w:t>
            </w:r>
            <w:r>
              <w:rPr>
                <w:rFonts w:hint="eastAsia" w:ascii="宋体" w:hAnsi="宋体" w:cs="宋体"/>
                <w:bCs/>
                <w:sz w:val="24"/>
              </w:rPr>
              <w:t>；</w:t>
            </w:r>
            <w:r>
              <w:rPr>
                <w:rFonts w:ascii="宋体" w:hAnsi="宋体" w:cs="宋体"/>
                <w:bCs/>
                <w:sz w:val="24"/>
              </w:rPr>
              <w:t>配备起重机</w:t>
            </w:r>
            <w:r>
              <w:rPr>
                <w:rFonts w:hint="eastAsia" w:ascii="宋体" w:hAnsi="宋体" w:cs="宋体"/>
                <w:bCs/>
                <w:sz w:val="24"/>
              </w:rPr>
              <w:t>上升，下降</w:t>
            </w:r>
            <w:r>
              <w:rPr>
                <w:rFonts w:ascii="宋体" w:hAnsi="宋体" w:cs="宋体"/>
                <w:bCs/>
                <w:sz w:val="24"/>
              </w:rPr>
              <w:t>限位装置、过载保护、紧急制动等安全装置过载/</w:t>
            </w:r>
            <w:r>
              <w:rPr>
                <w:rFonts w:hint="eastAsia" w:ascii="宋体" w:hAnsi="宋体" w:cs="宋体"/>
                <w:bCs/>
                <w:sz w:val="24"/>
              </w:rPr>
              <w:t>行走</w:t>
            </w:r>
            <w:r>
              <w:rPr>
                <w:rFonts w:ascii="宋体" w:hAnsi="宋体" w:cs="宋体"/>
                <w:bCs/>
                <w:sz w:val="24"/>
              </w:rPr>
              <w:t>时报警（声音和灯光</w:t>
            </w:r>
            <w:r>
              <w:rPr>
                <w:rFonts w:hint="eastAsia" w:ascii="宋体" w:hAnsi="宋体" w:cs="宋体"/>
                <w:bCs/>
                <w:sz w:val="24"/>
              </w:rPr>
              <w:t>，具备手动关闭功能</w:t>
            </w:r>
            <w:r>
              <w:rPr>
                <w:rFonts w:ascii="宋体" w:hAnsi="宋体" w:cs="宋体"/>
                <w:bCs/>
                <w:sz w:val="24"/>
              </w:rPr>
              <w:t>），</w:t>
            </w:r>
            <w:r>
              <w:rPr>
                <w:rFonts w:hint="eastAsia" w:ascii="宋体" w:hAnsi="宋体" w:cs="宋体"/>
                <w:bCs/>
                <w:sz w:val="24"/>
              </w:rPr>
              <w:t>起吊绳索须</w:t>
            </w:r>
            <w:r>
              <w:rPr>
                <w:rFonts w:ascii="宋体" w:hAnsi="宋体" w:cs="宋体"/>
                <w:bCs/>
                <w:sz w:val="24"/>
              </w:rPr>
              <w:t>不低于GB/T 20118</w:t>
            </w:r>
            <w:r>
              <w:rPr>
                <w:rFonts w:hint="eastAsia" w:ascii="宋体" w:hAnsi="宋体" w:cs="宋体"/>
                <w:bCs/>
                <w:sz w:val="24"/>
              </w:rPr>
              <w:t xml:space="preserve"> 和JB/T 14200-2022的</w:t>
            </w:r>
            <w:r>
              <w:rPr>
                <w:rFonts w:ascii="宋体" w:hAnsi="宋体" w:cs="宋体"/>
                <w:bCs/>
                <w:sz w:val="24"/>
              </w:rPr>
              <w:t>标准。依据JB/T 8906-2014相关行业标准制定，符合GB/T的安全标准</w:t>
            </w:r>
            <w:bookmarkEnd w:id="3"/>
            <w:r>
              <w:rPr>
                <w:rFonts w:hint="eastAsia" w:ascii="宋体" w:hAnsi="宋体" w:cs="宋体"/>
                <w:bCs/>
                <w:sz w:val="24"/>
              </w:rPr>
              <w:t>；</w:t>
            </w:r>
          </w:p>
          <w:p w14:paraId="249598AA">
            <w:pPr>
              <w:tabs>
                <w:tab w:val="left" w:pos="6915"/>
              </w:tabs>
              <w:jc w:val="both"/>
              <w:rPr>
                <w:rFonts w:hint="eastAsia" w:ascii="宋体" w:hAnsi="宋体" w:cs="宋体"/>
                <w:bCs/>
                <w:sz w:val="24"/>
              </w:rPr>
            </w:pPr>
            <w:r>
              <w:rPr>
                <w:rFonts w:hint="eastAsia" w:ascii="宋体" w:hAnsi="宋体" w:cs="宋体"/>
                <w:bCs/>
                <w:sz w:val="24"/>
              </w:rPr>
              <w:t>14.电气系统要求：配吊车输入主电缆25米接入主配电箱；驱动电机防护等级：≥IP55，绝缘等级F级；电气元件应具备防静电功能；电缆应采用高柔性扁平电缆或洁净室专用拖链电缆；电气设备应符合洁净室ESD（防静电）要求</w:t>
            </w:r>
          </w:p>
          <w:bookmarkEnd w:id="0"/>
          <w:bookmarkEnd w:id="1"/>
          <w:p w14:paraId="58A6589F">
            <w:pPr>
              <w:tabs>
                <w:tab w:val="left" w:pos="6915"/>
              </w:tabs>
              <w:jc w:val="both"/>
              <w:rPr>
                <w:rFonts w:hint="eastAsia" w:ascii="宋体" w:hAnsi="宋体" w:cs="宋体"/>
                <w:bCs/>
                <w:sz w:val="24"/>
              </w:rPr>
            </w:pPr>
            <w:r>
              <w:rPr>
                <w:rFonts w:hint="eastAsia" w:ascii="宋体" w:hAnsi="宋体" w:cs="宋体"/>
                <w:bCs/>
                <w:sz w:val="24"/>
              </w:rPr>
              <w:t>二、1吨龙门式吊车  1台</w:t>
            </w:r>
          </w:p>
          <w:p w14:paraId="337E7683">
            <w:pPr>
              <w:tabs>
                <w:tab w:val="left" w:pos="6915"/>
              </w:tabs>
              <w:jc w:val="both"/>
              <w:rPr>
                <w:rFonts w:hint="eastAsia" w:ascii="宋体" w:hAnsi="宋体" w:cs="宋体"/>
                <w:bCs/>
                <w:sz w:val="24"/>
              </w:rPr>
            </w:pPr>
            <w:r>
              <w:rPr>
                <w:rFonts w:hint="eastAsia" w:ascii="宋体" w:hAnsi="宋体" w:cs="宋体"/>
                <w:bCs/>
                <w:sz w:val="24"/>
              </w:rPr>
              <w:t>1. 洁净度要求：吊车使用环境为ISO6级（千级），设计须</w:t>
            </w:r>
            <w:r>
              <w:rPr>
                <w:rFonts w:ascii="宋体" w:hAnsi="宋体" w:cs="宋体"/>
                <w:bCs/>
                <w:sz w:val="24"/>
              </w:rPr>
              <w:t>依据</w:t>
            </w:r>
            <w:r>
              <w:rPr>
                <w:rFonts w:hint="eastAsia" w:ascii="宋体" w:hAnsi="宋体" w:cs="宋体"/>
                <w:bCs/>
                <w:sz w:val="24"/>
              </w:rPr>
              <w:t>JB/T 14201-2022《洁净环境用桥式起重机》 —适用于GB/T 25915.1-2010规定的4级~9级洁净度等级环境中使用的起重机制造和JB/T 14200-2022《洁净环境用电动葫芦》</w:t>
            </w:r>
            <w:r>
              <w:rPr>
                <w:rFonts w:ascii="宋体" w:hAnsi="宋体" w:cs="宋体"/>
                <w:bCs/>
                <w:sz w:val="24"/>
              </w:rPr>
              <w:t>相关行业标准制定</w:t>
            </w:r>
            <w:r>
              <w:rPr>
                <w:rFonts w:hint="eastAsia" w:ascii="宋体" w:hAnsi="宋体" w:cs="宋体"/>
                <w:bCs/>
                <w:sz w:val="24"/>
              </w:rPr>
              <w:t>；</w:t>
            </w:r>
          </w:p>
          <w:p w14:paraId="15953C82">
            <w:pPr>
              <w:tabs>
                <w:tab w:val="left" w:pos="6915"/>
              </w:tabs>
              <w:jc w:val="both"/>
              <w:rPr>
                <w:rFonts w:hint="eastAsia" w:ascii="宋体" w:hAnsi="宋体" w:cs="宋体"/>
                <w:bCs/>
                <w:sz w:val="24"/>
              </w:rPr>
            </w:pPr>
            <w:r>
              <w:rPr>
                <w:rFonts w:hint="eastAsia" w:ascii="宋体" w:hAnsi="宋体" w:cs="宋体"/>
                <w:bCs/>
                <w:sz w:val="24"/>
              </w:rPr>
              <w:t>2. 吊车龙门架主体及小车主体均采用304不锈钢，表面做镜面抛光处理，材料表面不可有凹坑、缺陷等；</w:t>
            </w:r>
          </w:p>
          <w:p w14:paraId="193F148E">
            <w:pPr>
              <w:tabs>
                <w:tab w:val="left" w:pos="6915"/>
              </w:tabs>
              <w:jc w:val="both"/>
              <w:rPr>
                <w:rFonts w:hint="eastAsia" w:ascii="宋体" w:hAnsi="宋体" w:cs="宋体"/>
                <w:bCs/>
                <w:sz w:val="24"/>
              </w:rPr>
            </w:pPr>
            <w:r>
              <w:rPr>
                <w:rFonts w:hint="eastAsia" w:ascii="宋体" w:hAnsi="宋体" w:cs="宋体"/>
                <w:bCs/>
                <w:sz w:val="24"/>
              </w:rPr>
              <w:t xml:space="preserve">3. </w:t>
            </w:r>
            <w:r>
              <w:rPr>
                <w:rFonts w:ascii="宋体" w:hAnsi="宋体" w:cs="宋体"/>
                <w:bCs/>
                <w:sz w:val="24"/>
              </w:rPr>
              <w:t>吊车额定载重量</w:t>
            </w:r>
            <w:r>
              <w:rPr>
                <w:rFonts w:hint="eastAsia" w:ascii="宋体" w:hAnsi="宋体" w:cs="宋体"/>
                <w:bCs/>
                <w:sz w:val="24"/>
              </w:rPr>
              <w:t>1</w:t>
            </w:r>
            <w:r>
              <w:rPr>
                <w:rFonts w:ascii="宋体" w:hAnsi="宋体" w:cs="宋体"/>
                <w:bCs/>
                <w:sz w:val="24"/>
              </w:rPr>
              <w:t>t，整车总</w:t>
            </w:r>
            <w:r>
              <w:rPr>
                <w:rFonts w:hint="eastAsia" w:ascii="宋体" w:hAnsi="宋体" w:cs="宋体"/>
                <w:bCs/>
                <w:sz w:val="24"/>
              </w:rPr>
              <w:t>高</w:t>
            </w:r>
            <w:r>
              <w:rPr>
                <w:rFonts w:ascii="宋体" w:hAnsi="宋体" w:cs="宋体"/>
                <w:bCs/>
                <w:sz w:val="24"/>
              </w:rPr>
              <w:t>度不超过</w:t>
            </w:r>
            <w:r>
              <w:rPr>
                <w:rFonts w:hint="eastAsia" w:ascii="宋体" w:hAnsi="宋体" w:cs="宋体"/>
                <w:bCs/>
                <w:sz w:val="24"/>
              </w:rPr>
              <w:t>355</w:t>
            </w:r>
            <w:r>
              <w:rPr>
                <w:rFonts w:ascii="宋体" w:hAnsi="宋体" w:cs="宋体"/>
                <w:bCs/>
                <w:sz w:val="24"/>
              </w:rPr>
              <w:t>0mm</w:t>
            </w:r>
            <w:r>
              <w:rPr>
                <w:rFonts w:hint="eastAsia" w:ascii="宋体" w:hAnsi="宋体" w:cs="宋体"/>
                <w:bCs/>
                <w:sz w:val="24"/>
              </w:rPr>
              <w:t>，总</w:t>
            </w:r>
            <w:r>
              <w:rPr>
                <w:rFonts w:ascii="宋体" w:hAnsi="宋体" w:cs="宋体"/>
                <w:bCs/>
                <w:sz w:val="24"/>
              </w:rPr>
              <w:t>宽度不超过</w:t>
            </w:r>
            <w:r>
              <w:rPr>
                <w:rFonts w:hint="eastAsia" w:ascii="宋体" w:hAnsi="宋体" w:cs="宋体"/>
                <w:bCs/>
                <w:sz w:val="24"/>
              </w:rPr>
              <w:t>280</w:t>
            </w:r>
            <w:r>
              <w:rPr>
                <w:rFonts w:ascii="宋体" w:hAnsi="宋体" w:cs="宋体"/>
                <w:bCs/>
                <w:sz w:val="24"/>
              </w:rPr>
              <w:t>0mm，</w:t>
            </w:r>
            <w:r>
              <w:rPr>
                <w:rFonts w:hint="eastAsia" w:ascii="宋体" w:hAnsi="宋体" w:cs="宋体"/>
                <w:bCs/>
                <w:sz w:val="24"/>
              </w:rPr>
              <w:t>有效起升高度不低于2600mm，龙门内跨</w:t>
            </w:r>
            <w:r>
              <w:rPr>
                <w:rFonts w:ascii="宋体" w:hAnsi="宋体" w:cs="宋体"/>
                <w:bCs/>
                <w:sz w:val="24"/>
              </w:rPr>
              <w:t>度不</w:t>
            </w:r>
            <w:r>
              <w:rPr>
                <w:rFonts w:hint="eastAsia" w:ascii="宋体" w:hAnsi="宋体" w:cs="宋体"/>
                <w:bCs/>
                <w:sz w:val="24"/>
              </w:rPr>
              <w:t>低于2</w:t>
            </w:r>
            <w:r>
              <w:rPr>
                <w:rFonts w:ascii="宋体" w:hAnsi="宋体" w:cs="宋体"/>
                <w:bCs/>
                <w:sz w:val="24"/>
              </w:rPr>
              <w:t>000mm；</w:t>
            </w:r>
          </w:p>
          <w:p w14:paraId="24045072">
            <w:pPr>
              <w:pStyle w:val="11"/>
              <w:numPr>
                <w:ilvl w:val="0"/>
                <w:numId w:val="2"/>
              </w:numPr>
              <w:tabs>
                <w:tab w:val="left" w:pos="6915"/>
                <w:tab w:val="clear" w:pos="1428"/>
              </w:tabs>
              <w:ind w:firstLineChars="0"/>
              <w:jc w:val="both"/>
              <w:rPr>
                <w:rFonts w:hint="eastAsia" w:ascii="宋体" w:hAnsi="宋体" w:cs="宋体"/>
                <w:bCs/>
                <w:sz w:val="24"/>
              </w:rPr>
            </w:pPr>
            <w:r>
              <w:rPr>
                <w:rFonts w:ascii="宋体" w:hAnsi="宋体" w:cs="宋体"/>
                <w:bCs/>
                <w:sz w:val="24"/>
              </w:rPr>
              <w:t>吊车</w:t>
            </w:r>
            <w:r>
              <w:rPr>
                <w:rFonts w:hint="eastAsia" w:ascii="宋体" w:hAnsi="宋体" w:cs="宋体"/>
                <w:bCs/>
                <w:sz w:val="24"/>
              </w:rPr>
              <w:t>主架采用手动驱动方式；</w:t>
            </w:r>
          </w:p>
          <w:p w14:paraId="548EFC7B">
            <w:pPr>
              <w:pStyle w:val="11"/>
              <w:numPr>
                <w:ilvl w:val="0"/>
                <w:numId w:val="2"/>
              </w:numPr>
              <w:tabs>
                <w:tab w:val="left" w:pos="6915"/>
                <w:tab w:val="clear" w:pos="1428"/>
              </w:tabs>
              <w:ind w:firstLineChars="0"/>
              <w:jc w:val="both"/>
              <w:rPr>
                <w:rFonts w:hint="eastAsia" w:ascii="宋体" w:hAnsi="宋体" w:cs="宋体" w:eastAsiaTheme="minorEastAsia"/>
                <w:bCs/>
                <w:kern w:val="2"/>
                <w:sz w:val="24"/>
                <w:szCs w:val="22"/>
                <w:lang w:val="en-US" w:eastAsia="zh-CN" w:bidi="ar-SA"/>
              </w:rPr>
            </w:pPr>
            <w:r>
              <w:rPr>
                <w:rFonts w:hint="eastAsia" w:ascii="宋体" w:hAnsi="宋体" w:cs="宋体" w:eastAsiaTheme="minorEastAsia"/>
                <w:bCs/>
                <w:kern w:val="2"/>
                <w:sz w:val="24"/>
                <w:szCs w:val="22"/>
                <w:lang w:val="en-US" w:eastAsia="zh-CN" w:bidi="ar-SA"/>
              </w:rPr>
              <w:t>升降速度：带快慢档速度可调节，最低速可调节至0.3m/min，伺服控制；具备微速功能和寸动功能，确保精确定位；具备零速悬停（防溜钩）功能；</w:t>
            </w:r>
          </w:p>
          <w:p w14:paraId="0C78D713">
            <w:pPr>
              <w:numPr>
                <w:ilvl w:val="0"/>
                <w:numId w:val="2"/>
              </w:numPr>
              <w:tabs>
                <w:tab w:val="left" w:pos="6915"/>
              </w:tabs>
              <w:jc w:val="both"/>
              <w:rPr>
                <w:rFonts w:hint="eastAsia" w:ascii="宋体" w:hAnsi="宋体" w:cs="宋体"/>
                <w:bCs/>
                <w:sz w:val="24"/>
              </w:rPr>
            </w:pPr>
            <w:r>
              <w:rPr>
                <w:rFonts w:hint="eastAsia" w:ascii="宋体" w:hAnsi="宋体" w:cs="宋体"/>
                <w:bCs/>
                <w:sz w:val="24"/>
              </w:rPr>
              <w:t>小车运行速度：带快慢档速度可调节，最</w:t>
            </w:r>
            <w:r>
              <w:rPr>
                <w:rFonts w:ascii="宋体" w:hAnsi="宋体" w:cs="宋体"/>
                <w:bCs/>
                <w:sz w:val="24"/>
              </w:rPr>
              <w:t>低</w:t>
            </w:r>
            <w:r>
              <w:rPr>
                <w:rFonts w:hint="eastAsia" w:ascii="宋体" w:hAnsi="宋体" w:cs="宋体"/>
                <w:bCs/>
                <w:sz w:val="24"/>
              </w:rPr>
              <w:t>速可调节至1</w:t>
            </w:r>
            <w:r>
              <w:rPr>
                <w:rFonts w:ascii="宋体" w:hAnsi="宋体" w:cs="宋体"/>
                <w:bCs/>
                <w:sz w:val="24"/>
              </w:rPr>
              <w:t>m/</w:t>
            </w:r>
            <w:r>
              <w:rPr>
                <w:rFonts w:hint="eastAsia" w:ascii="宋体" w:hAnsi="宋体" w:cs="宋体"/>
                <w:bCs/>
                <w:sz w:val="24"/>
              </w:rPr>
              <w:t xml:space="preserve"> min，伺服控制；</w:t>
            </w:r>
          </w:p>
          <w:p w14:paraId="12DFA5F5">
            <w:pPr>
              <w:pStyle w:val="11"/>
              <w:numPr>
                <w:ilvl w:val="0"/>
                <w:numId w:val="2"/>
              </w:numPr>
              <w:tabs>
                <w:tab w:val="left" w:pos="6915"/>
                <w:tab w:val="clear" w:pos="1428"/>
              </w:tabs>
              <w:ind w:firstLineChars="0"/>
              <w:jc w:val="both"/>
              <w:rPr>
                <w:rFonts w:hint="eastAsia" w:ascii="宋体" w:hAnsi="宋体" w:cs="宋体"/>
                <w:bCs/>
                <w:sz w:val="24"/>
              </w:rPr>
            </w:pPr>
            <w:r>
              <w:rPr>
                <w:rFonts w:hint="eastAsia" w:ascii="宋体" w:hAnsi="宋体" w:cs="宋体"/>
                <w:bCs/>
                <w:sz w:val="24"/>
              </w:rPr>
              <w:t>吊车操控采用无线遥控方式，遥控器带一键急停功能；</w:t>
            </w:r>
          </w:p>
          <w:p w14:paraId="28EE685E">
            <w:pPr>
              <w:numPr>
                <w:ilvl w:val="0"/>
                <w:numId w:val="2"/>
              </w:numPr>
              <w:tabs>
                <w:tab w:val="left" w:pos="6915"/>
              </w:tabs>
              <w:jc w:val="both"/>
              <w:rPr>
                <w:rFonts w:hint="eastAsia" w:ascii="宋体" w:hAnsi="宋体" w:cs="宋体"/>
                <w:bCs/>
                <w:sz w:val="24"/>
              </w:rPr>
            </w:pPr>
            <w:r>
              <w:rPr>
                <w:rFonts w:hint="eastAsia" w:ascii="宋体" w:hAnsi="宋体" w:cs="宋体"/>
                <w:bCs/>
                <w:sz w:val="24"/>
              </w:rPr>
              <w:t>龙门架</w:t>
            </w:r>
            <w:r>
              <w:rPr>
                <w:rFonts w:ascii="宋体" w:hAnsi="宋体" w:cs="宋体"/>
                <w:bCs/>
                <w:sz w:val="24"/>
              </w:rPr>
              <w:t>驱动轮</w:t>
            </w:r>
            <w:r>
              <w:rPr>
                <w:rFonts w:hint="eastAsia" w:ascii="宋体" w:hAnsi="宋体" w:cs="宋体"/>
                <w:bCs/>
                <w:sz w:val="24"/>
              </w:rPr>
              <w:t>和万向轮须满足在金刚砂地面及PVC地面行走时不出现轮胎打滑和损伤地面</w:t>
            </w:r>
            <w:r>
              <w:rPr>
                <w:rFonts w:ascii="宋体" w:hAnsi="宋体" w:cs="宋体"/>
                <w:bCs/>
                <w:sz w:val="24"/>
              </w:rPr>
              <w:t>；</w:t>
            </w:r>
          </w:p>
          <w:p w14:paraId="5D26B91C">
            <w:pPr>
              <w:pStyle w:val="11"/>
              <w:numPr>
                <w:ilvl w:val="0"/>
                <w:numId w:val="2"/>
              </w:numPr>
              <w:tabs>
                <w:tab w:val="left" w:pos="6915"/>
                <w:tab w:val="clear" w:pos="1428"/>
              </w:tabs>
              <w:ind w:firstLineChars="0"/>
              <w:jc w:val="both"/>
              <w:rPr>
                <w:rFonts w:hint="eastAsia" w:ascii="宋体" w:hAnsi="宋体" w:cs="宋体"/>
                <w:bCs/>
                <w:sz w:val="24"/>
              </w:rPr>
            </w:pPr>
            <w:r>
              <w:rPr>
                <w:rFonts w:ascii="宋体" w:hAnsi="宋体" w:cs="宋体"/>
                <w:bCs/>
                <w:sz w:val="24"/>
              </w:rPr>
              <w:t>其它标配；</w:t>
            </w:r>
          </w:p>
          <w:p w14:paraId="3BF3FFE1">
            <w:pPr>
              <w:pStyle w:val="11"/>
              <w:numPr>
                <w:ilvl w:val="0"/>
                <w:numId w:val="0"/>
              </w:numPr>
              <w:tabs>
                <w:tab w:val="left" w:pos="6915"/>
                <w:tab w:val="clear" w:pos="1428"/>
              </w:tabs>
              <w:ind w:leftChars="0"/>
              <w:jc w:val="both"/>
              <w:rPr>
                <w:rFonts w:hint="eastAsia" w:ascii="宋体" w:hAnsi="宋体" w:cs="宋体"/>
                <w:bCs/>
                <w:sz w:val="24"/>
              </w:rPr>
            </w:pPr>
            <w:r>
              <w:rPr>
                <w:rFonts w:hint="eastAsia" w:ascii="宋体" w:hAnsi="宋体" w:cs="宋体"/>
                <w:bCs/>
                <w:sz w:val="24"/>
                <w:lang w:val="en-US" w:eastAsia="zh-CN"/>
              </w:rPr>
              <w:t>10.</w:t>
            </w:r>
            <w:r>
              <w:rPr>
                <w:rFonts w:hint="eastAsia" w:ascii="宋体" w:hAnsi="宋体" w:cs="宋体"/>
                <w:bCs/>
                <w:sz w:val="24"/>
              </w:rPr>
              <w:t>传动润滑部分：整机采用无油化或低发尘油脂处理，轴承等部件应清洗达到无油或低挥发状态，齿轮等部件应采用低发尘洁净室专用油脂或真空环境内专用润滑油脂；</w:t>
            </w:r>
          </w:p>
          <w:p w14:paraId="1AAC2E96">
            <w:pPr>
              <w:pStyle w:val="11"/>
              <w:numPr>
                <w:ilvl w:val="0"/>
                <w:numId w:val="0"/>
              </w:numPr>
              <w:tabs>
                <w:tab w:val="left" w:pos="6915"/>
                <w:tab w:val="clear" w:pos="1428"/>
              </w:tabs>
              <w:ind w:leftChars="0"/>
              <w:jc w:val="both"/>
              <w:rPr>
                <w:rFonts w:hint="eastAsia" w:ascii="宋体" w:hAnsi="宋体" w:cs="宋体"/>
                <w:bCs/>
                <w:sz w:val="24"/>
              </w:rPr>
            </w:pPr>
            <w:r>
              <w:rPr>
                <w:rFonts w:hint="eastAsia" w:ascii="宋体" w:hAnsi="宋体" w:cs="宋体"/>
                <w:bCs/>
                <w:sz w:val="24"/>
                <w:lang w:val="en-US" w:eastAsia="zh-CN"/>
              </w:rPr>
              <w:t>11.</w:t>
            </w:r>
            <w:r>
              <w:rPr>
                <w:rFonts w:ascii="宋体" w:hAnsi="宋体" w:cs="宋体"/>
                <w:bCs/>
                <w:sz w:val="24"/>
              </w:rPr>
              <w:t>安全性要求</w:t>
            </w:r>
            <w:r>
              <w:rPr>
                <w:rFonts w:hint="eastAsia" w:ascii="宋体" w:hAnsi="宋体" w:cs="宋体"/>
                <w:bCs/>
                <w:sz w:val="24"/>
              </w:rPr>
              <w:t>：</w:t>
            </w:r>
            <w:r>
              <w:rPr>
                <w:rFonts w:ascii="宋体" w:hAnsi="宋体" w:cs="宋体"/>
                <w:bCs/>
                <w:sz w:val="24"/>
              </w:rPr>
              <w:t>控制系统应符合洁净室使用标准，避免产生电磁干扰</w:t>
            </w:r>
            <w:r>
              <w:rPr>
                <w:rFonts w:hint="eastAsia" w:ascii="宋体" w:hAnsi="宋体" w:cs="宋体"/>
                <w:bCs/>
                <w:sz w:val="24"/>
              </w:rPr>
              <w:t>；</w:t>
            </w:r>
            <w:r>
              <w:rPr>
                <w:rFonts w:ascii="宋体" w:hAnsi="宋体" w:cs="宋体"/>
                <w:bCs/>
                <w:sz w:val="24"/>
              </w:rPr>
              <w:t>配备起重机</w:t>
            </w:r>
            <w:r>
              <w:rPr>
                <w:rFonts w:hint="eastAsia" w:ascii="宋体" w:hAnsi="宋体" w:cs="宋体"/>
                <w:bCs/>
                <w:sz w:val="24"/>
              </w:rPr>
              <w:t>上升，下降</w:t>
            </w:r>
            <w:r>
              <w:rPr>
                <w:rFonts w:ascii="宋体" w:hAnsi="宋体" w:cs="宋体"/>
                <w:bCs/>
                <w:sz w:val="24"/>
              </w:rPr>
              <w:t>限位装置、过载保护、紧急制动等安全装置过载/</w:t>
            </w:r>
            <w:r>
              <w:rPr>
                <w:rFonts w:hint="eastAsia" w:ascii="宋体" w:hAnsi="宋体" w:cs="宋体"/>
                <w:bCs/>
                <w:sz w:val="24"/>
              </w:rPr>
              <w:t>行走</w:t>
            </w:r>
            <w:r>
              <w:rPr>
                <w:rFonts w:ascii="宋体" w:hAnsi="宋体" w:cs="宋体"/>
                <w:bCs/>
                <w:sz w:val="24"/>
              </w:rPr>
              <w:t>时报警（声音和灯光</w:t>
            </w:r>
            <w:r>
              <w:rPr>
                <w:rFonts w:hint="eastAsia" w:ascii="宋体" w:hAnsi="宋体" w:cs="宋体"/>
                <w:bCs/>
                <w:sz w:val="24"/>
              </w:rPr>
              <w:t>，具备手动关闭功能</w:t>
            </w:r>
            <w:r>
              <w:rPr>
                <w:rFonts w:ascii="宋体" w:hAnsi="宋体" w:cs="宋体"/>
                <w:bCs/>
                <w:sz w:val="24"/>
              </w:rPr>
              <w:t>），</w:t>
            </w:r>
            <w:r>
              <w:rPr>
                <w:rFonts w:hint="eastAsia" w:ascii="宋体" w:hAnsi="宋体" w:cs="宋体"/>
                <w:bCs/>
                <w:sz w:val="24"/>
              </w:rPr>
              <w:t>起吊绳索须</w:t>
            </w:r>
            <w:r>
              <w:rPr>
                <w:rFonts w:ascii="宋体" w:hAnsi="宋体" w:cs="宋体"/>
                <w:bCs/>
                <w:sz w:val="24"/>
              </w:rPr>
              <w:t>不低于GB/T 20118</w:t>
            </w:r>
            <w:r>
              <w:rPr>
                <w:rFonts w:hint="eastAsia" w:ascii="宋体" w:hAnsi="宋体" w:cs="宋体"/>
                <w:bCs/>
                <w:sz w:val="24"/>
              </w:rPr>
              <w:t xml:space="preserve"> 和JB/T 14200-2022的</w:t>
            </w:r>
            <w:r>
              <w:rPr>
                <w:rFonts w:ascii="宋体" w:hAnsi="宋体" w:cs="宋体"/>
                <w:bCs/>
                <w:sz w:val="24"/>
              </w:rPr>
              <w:t>标准。依据JB/T 8906-2014相关行业标准制定，符合GB/T的安全标准</w:t>
            </w:r>
            <w:r>
              <w:rPr>
                <w:rFonts w:hint="eastAsia" w:ascii="宋体" w:hAnsi="宋体" w:cs="宋体"/>
                <w:bCs/>
                <w:sz w:val="24"/>
              </w:rPr>
              <w:t>；</w:t>
            </w:r>
          </w:p>
          <w:p w14:paraId="7C6E84D8">
            <w:pPr>
              <w:pStyle w:val="11"/>
              <w:numPr>
                <w:ilvl w:val="0"/>
                <w:numId w:val="0"/>
              </w:numPr>
              <w:tabs>
                <w:tab w:val="left" w:pos="6915"/>
                <w:tab w:val="clear" w:pos="1428"/>
              </w:tabs>
              <w:ind w:leftChars="0"/>
              <w:jc w:val="both"/>
              <w:rPr>
                <w:rFonts w:ascii="Arial" w:hAnsi="Arial" w:eastAsia="宋体" w:cs="Arial"/>
                <w:szCs w:val="21"/>
                <w:shd w:val="clear" w:color="auto" w:fill="FFFFFF"/>
              </w:rPr>
            </w:pPr>
            <w:r>
              <w:rPr>
                <w:rFonts w:hint="eastAsia" w:ascii="宋体" w:hAnsi="宋体" w:cs="宋体"/>
                <w:bCs/>
                <w:sz w:val="24"/>
                <w:lang w:val="en-US" w:eastAsia="zh-CN"/>
              </w:rPr>
              <w:t>12.</w:t>
            </w:r>
            <w:r>
              <w:rPr>
                <w:rFonts w:hint="eastAsia" w:ascii="宋体" w:hAnsi="宋体" w:cs="宋体"/>
                <w:bCs/>
                <w:sz w:val="24"/>
              </w:rPr>
              <w:t>电气系统要求：配吊车输入主电缆25米接入主配电箱；驱动电机防护等级：≥IP55，绝缘等级F级；电气元件应具备防静电功能；电缆应采用高柔性扁平电缆或洁净室专用拖链电缆；电气设备应符合洁净室ESD（防静电）要求。</w:t>
            </w:r>
          </w:p>
        </w:tc>
        <w:tc>
          <w:tcPr>
            <w:tcW w:w="1418" w:type="dxa"/>
            <w:vAlign w:val="center"/>
          </w:tcPr>
          <w:p w14:paraId="205FF5AB">
            <w:pPr>
              <w:spacing w:line="240" w:lineRule="atLeast"/>
              <w:jc w:val="center"/>
            </w:pPr>
          </w:p>
        </w:tc>
        <w:tc>
          <w:tcPr>
            <w:tcW w:w="992" w:type="dxa"/>
            <w:vAlign w:val="center"/>
          </w:tcPr>
          <w:p w14:paraId="1C60665B">
            <w:pPr>
              <w:spacing w:line="240" w:lineRule="atLeast"/>
              <w:jc w:val="center"/>
            </w:pPr>
          </w:p>
        </w:tc>
      </w:tr>
      <w:tr w14:paraId="497E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6" w:hRule="atLeast"/>
        </w:trPr>
        <w:tc>
          <w:tcPr>
            <w:tcW w:w="705" w:type="dxa"/>
            <w:vAlign w:val="center"/>
          </w:tcPr>
          <w:p w14:paraId="21D5CC9B">
            <w:pPr>
              <w:spacing w:line="240" w:lineRule="atLeast"/>
              <w:jc w:val="center"/>
            </w:pPr>
            <w:r>
              <w:t>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2217188C">
            <w:pPr>
              <w:widowControl/>
              <w:spacing w:line="240" w:lineRule="atLeast"/>
              <w:jc w:val="center"/>
            </w:pPr>
            <w:r>
              <w:rPr>
                <w:rFonts w:hint="eastAsia"/>
              </w:rPr>
              <w:t>商务条款</w:t>
            </w:r>
          </w:p>
        </w:tc>
        <w:tc>
          <w:tcPr>
            <w:tcW w:w="5244" w:type="dxa"/>
            <w:tcBorders>
              <w:top w:val="single" w:color="auto" w:sz="4" w:space="0"/>
              <w:left w:val="nil"/>
              <w:bottom w:val="single" w:color="auto" w:sz="4" w:space="0"/>
              <w:right w:val="single" w:color="auto" w:sz="4" w:space="0"/>
            </w:tcBorders>
            <w:shd w:val="clear" w:color="auto" w:fill="auto"/>
            <w:vAlign w:val="center"/>
          </w:tcPr>
          <w:p w14:paraId="62826E3E">
            <w:pPr>
              <w:tabs>
                <w:tab w:val="left" w:pos="6915"/>
              </w:tabs>
              <w:jc w:val="both"/>
              <w:rPr>
                <w:rFonts w:hint="eastAsia" w:ascii="宋体" w:hAnsi="宋体"/>
                <w:b w:val="0"/>
                <w:bCs/>
                <w:szCs w:val="21"/>
              </w:rPr>
            </w:pPr>
            <w:r>
              <w:rPr>
                <w:rFonts w:ascii="宋体" w:hAnsi="宋体"/>
                <w:b/>
                <w:szCs w:val="21"/>
              </w:rPr>
              <w:t>交货期</w:t>
            </w:r>
            <w:r>
              <w:rPr>
                <w:rFonts w:hint="eastAsia" w:ascii="宋体" w:hAnsi="宋体"/>
                <w:b/>
                <w:szCs w:val="21"/>
              </w:rPr>
              <w:t>：</w:t>
            </w:r>
            <w:r>
              <w:rPr>
                <w:rFonts w:hint="eastAsia" w:ascii="宋体" w:hAnsi="宋体"/>
                <w:b w:val="0"/>
                <w:bCs/>
                <w:szCs w:val="21"/>
              </w:rPr>
              <w:t>合同签订</w:t>
            </w:r>
            <w:r>
              <w:rPr>
                <w:rFonts w:ascii="宋体" w:hAnsi="宋体"/>
                <w:b w:val="0"/>
                <w:bCs/>
                <w:szCs w:val="21"/>
              </w:rPr>
              <w:t>后</w:t>
            </w:r>
            <w:r>
              <w:rPr>
                <w:rFonts w:hint="eastAsia" w:ascii="宋体" w:hAnsi="宋体"/>
                <w:b w:val="0"/>
                <w:bCs/>
                <w:szCs w:val="21"/>
              </w:rPr>
              <w:t>6</w:t>
            </w:r>
            <w:r>
              <w:rPr>
                <w:rFonts w:ascii="宋体" w:hAnsi="宋体"/>
                <w:b w:val="0"/>
                <w:bCs/>
                <w:szCs w:val="21"/>
              </w:rPr>
              <w:t>0日内交货到我方指定地点。</w:t>
            </w:r>
          </w:p>
          <w:p w14:paraId="379C6791">
            <w:pPr>
              <w:tabs>
                <w:tab w:val="left" w:pos="6915"/>
              </w:tabs>
              <w:jc w:val="both"/>
              <w:rPr>
                <w:rFonts w:hint="eastAsia" w:ascii="宋体" w:hAnsi="宋体"/>
                <w:b/>
                <w:szCs w:val="21"/>
              </w:rPr>
            </w:pPr>
            <w:r>
              <w:rPr>
                <w:rFonts w:ascii="宋体" w:hAnsi="宋体"/>
                <w:b/>
                <w:szCs w:val="21"/>
              </w:rPr>
              <w:t>交付进度</w:t>
            </w:r>
            <w:r>
              <w:rPr>
                <w:rFonts w:hint="eastAsia" w:ascii="宋体" w:hAnsi="宋体"/>
                <w:b/>
                <w:szCs w:val="21"/>
              </w:rPr>
              <w:t>：</w:t>
            </w:r>
            <w:r>
              <w:rPr>
                <w:rFonts w:ascii="宋体" w:hAnsi="宋体"/>
                <w:b w:val="0"/>
                <w:bCs w:val="0"/>
                <w:szCs w:val="21"/>
              </w:rPr>
              <w:t>一次性交付。</w:t>
            </w:r>
          </w:p>
          <w:p w14:paraId="1263B4E5">
            <w:pPr>
              <w:tabs>
                <w:tab w:val="left" w:pos="6915"/>
              </w:tabs>
              <w:jc w:val="both"/>
              <w:rPr>
                <w:rFonts w:hint="eastAsia" w:ascii="宋体" w:hAnsi="宋体"/>
                <w:b w:val="0"/>
                <w:bCs/>
                <w:szCs w:val="21"/>
              </w:rPr>
            </w:pPr>
            <w:r>
              <w:rPr>
                <w:rFonts w:ascii="宋体" w:hAnsi="宋体"/>
                <w:b/>
                <w:szCs w:val="21"/>
              </w:rPr>
              <w:t>付款方式</w:t>
            </w:r>
            <w:r>
              <w:rPr>
                <w:rFonts w:hint="eastAsia" w:ascii="宋体" w:hAnsi="宋体"/>
                <w:b/>
                <w:szCs w:val="21"/>
              </w:rPr>
              <w:t>：</w:t>
            </w:r>
            <w:r>
              <w:rPr>
                <w:rFonts w:ascii="宋体" w:hAnsi="宋体"/>
                <w:b w:val="0"/>
                <w:bCs/>
                <w:szCs w:val="21"/>
              </w:rPr>
              <w:t>合同签订后20个工作日内预付30%，发货前</w:t>
            </w:r>
            <w:r>
              <w:rPr>
                <w:rFonts w:hint="eastAsia" w:ascii="宋体" w:hAnsi="宋体"/>
                <w:b w:val="0"/>
                <w:bCs/>
                <w:szCs w:val="21"/>
              </w:rPr>
              <w:t>由乙</w:t>
            </w:r>
            <w:r>
              <w:rPr>
                <w:rFonts w:ascii="宋体" w:hAnsi="宋体"/>
                <w:b w:val="0"/>
                <w:bCs/>
                <w:szCs w:val="21"/>
              </w:rPr>
              <w:t>方组织</w:t>
            </w:r>
            <w:r>
              <w:rPr>
                <w:rFonts w:hint="eastAsia" w:ascii="宋体" w:hAnsi="宋体"/>
                <w:b w:val="0"/>
                <w:bCs/>
                <w:szCs w:val="21"/>
              </w:rPr>
              <w:t>出</w:t>
            </w:r>
            <w:r>
              <w:rPr>
                <w:rFonts w:ascii="宋体" w:hAnsi="宋体"/>
                <w:b w:val="0"/>
                <w:bCs/>
                <w:szCs w:val="21"/>
              </w:rPr>
              <w:t>厂</w:t>
            </w:r>
            <w:r>
              <w:rPr>
                <w:rFonts w:hint="eastAsia" w:ascii="宋体" w:hAnsi="宋体"/>
                <w:b w:val="0"/>
                <w:bCs/>
                <w:szCs w:val="21"/>
              </w:rPr>
              <w:t>测试</w:t>
            </w:r>
            <w:r>
              <w:rPr>
                <w:rFonts w:ascii="宋体" w:hAnsi="宋体"/>
                <w:b w:val="0"/>
                <w:bCs/>
                <w:szCs w:val="21"/>
              </w:rPr>
              <w:t>，出厂测试合格付款60%，货到验收合格后支付10%尾款。</w:t>
            </w:r>
          </w:p>
          <w:p w14:paraId="6190263B">
            <w:pPr>
              <w:tabs>
                <w:tab w:val="left" w:pos="6915"/>
              </w:tabs>
              <w:jc w:val="both"/>
              <w:rPr>
                <w:rFonts w:hint="eastAsia" w:ascii="宋体" w:hAnsi="宋体"/>
                <w:b w:val="0"/>
                <w:bCs w:val="0"/>
                <w:szCs w:val="21"/>
              </w:rPr>
            </w:pPr>
            <w:r>
              <w:rPr>
                <w:rFonts w:hint="eastAsia" w:ascii="宋体" w:hAnsi="宋体"/>
                <w:b/>
                <w:szCs w:val="21"/>
              </w:rPr>
              <w:t>验收指标及验收要求：</w:t>
            </w:r>
            <w:r>
              <w:rPr>
                <w:rFonts w:ascii="宋体" w:hAnsi="宋体"/>
                <w:b w:val="0"/>
                <w:bCs w:val="0"/>
                <w:szCs w:val="21"/>
              </w:rPr>
              <w:t>提供出厂合格证，技术文件（含总图、电气原理图、操作手册、维护手册等</w:t>
            </w:r>
            <w:r>
              <w:rPr>
                <w:rFonts w:hint="eastAsia" w:ascii="宋体" w:hAnsi="宋体"/>
                <w:b w:val="0"/>
                <w:bCs w:val="0"/>
                <w:szCs w:val="21"/>
              </w:rPr>
              <w:t>）；</w:t>
            </w:r>
          </w:p>
          <w:p w14:paraId="4A491806">
            <w:pPr>
              <w:tabs>
                <w:tab w:val="left" w:pos="6915"/>
              </w:tabs>
              <w:jc w:val="left"/>
              <w:rPr>
                <w:rFonts w:hint="eastAsia" w:ascii="宋体" w:hAnsi="宋体"/>
                <w:b w:val="0"/>
                <w:bCs w:val="0"/>
                <w:szCs w:val="21"/>
              </w:rPr>
            </w:pPr>
            <w:r>
              <w:rPr>
                <w:rFonts w:hint="eastAsia" w:ascii="宋体" w:hAnsi="宋体"/>
                <w:b w:val="0"/>
                <w:bCs w:val="0"/>
                <w:szCs w:val="21"/>
              </w:rPr>
              <w:t>验收前乙方须对设备进行以下几点测试，并给出符合国标的测试合格报告：</w:t>
            </w:r>
          </w:p>
          <w:p w14:paraId="72179393">
            <w:pPr>
              <w:pStyle w:val="11"/>
              <w:numPr>
                <w:ilvl w:val="0"/>
                <w:numId w:val="3"/>
              </w:numPr>
              <w:tabs>
                <w:tab w:val="left" w:pos="6915"/>
                <w:tab w:val="clear" w:pos="1428"/>
              </w:tabs>
              <w:ind w:firstLineChars="0"/>
              <w:jc w:val="left"/>
              <w:rPr>
                <w:rFonts w:hint="eastAsia" w:ascii="宋体" w:hAnsi="宋体"/>
                <w:b w:val="0"/>
                <w:bCs w:val="0"/>
                <w:szCs w:val="21"/>
              </w:rPr>
            </w:pPr>
            <w:r>
              <w:rPr>
                <w:rFonts w:hint="eastAsia" w:ascii="宋体" w:hAnsi="宋体"/>
                <w:b w:val="0"/>
                <w:bCs w:val="0"/>
                <w:szCs w:val="21"/>
              </w:rPr>
              <w:t>空载试验；</w:t>
            </w:r>
          </w:p>
          <w:p w14:paraId="23E08D93">
            <w:pPr>
              <w:pStyle w:val="11"/>
              <w:numPr>
                <w:ilvl w:val="0"/>
                <w:numId w:val="3"/>
              </w:numPr>
              <w:tabs>
                <w:tab w:val="left" w:pos="6915"/>
                <w:tab w:val="clear" w:pos="1428"/>
              </w:tabs>
              <w:ind w:firstLineChars="0"/>
              <w:jc w:val="left"/>
              <w:rPr>
                <w:rFonts w:hint="eastAsia" w:ascii="宋体" w:hAnsi="宋体"/>
                <w:b w:val="0"/>
                <w:bCs w:val="0"/>
                <w:szCs w:val="21"/>
              </w:rPr>
            </w:pPr>
            <w:r>
              <w:rPr>
                <w:rFonts w:hint="eastAsia" w:ascii="宋体" w:hAnsi="宋体"/>
                <w:b w:val="0"/>
                <w:bCs w:val="0"/>
                <w:szCs w:val="21"/>
              </w:rPr>
              <w:t>静载荷试验；</w:t>
            </w:r>
          </w:p>
          <w:p w14:paraId="69E1D3F2">
            <w:pPr>
              <w:pStyle w:val="11"/>
              <w:numPr>
                <w:ilvl w:val="0"/>
                <w:numId w:val="3"/>
              </w:numPr>
              <w:tabs>
                <w:tab w:val="left" w:pos="6915"/>
                <w:tab w:val="clear" w:pos="1428"/>
              </w:tabs>
              <w:ind w:firstLineChars="0"/>
              <w:jc w:val="left"/>
              <w:rPr>
                <w:rFonts w:hint="eastAsia" w:ascii="宋体" w:hAnsi="宋体"/>
                <w:b w:val="0"/>
                <w:bCs w:val="0"/>
                <w:szCs w:val="21"/>
              </w:rPr>
            </w:pPr>
            <w:r>
              <w:rPr>
                <w:rFonts w:hint="eastAsia" w:ascii="宋体" w:hAnsi="宋体"/>
                <w:b w:val="0"/>
                <w:bCs w:val="0"/>
                <w:szCs w:val="21"/>
              </w:rPr>
              <w:t>动载荷试验；</w:t>
            </w:r>
          </w:p>
          <w:p w14:paraId="39EB87A4">
            <w:pPr>
              <w:pStyle w:val="11"/>
              <w:numPr>
                <w:ilvl w:val="0"/>
                <w:numId w:val="3"/>
              </w:numPr>
              <w:tabs>
                <w:tab w:val="left" w:pos="6915"/>
                <w:tab w:val="clear" w:pos="1428"/>
              </w:tabs>
              <w:ind w:firstLineChars="0"/>
              <w:jc w:val="left"/>
              <w:rPr>
                <w:rFonts w:hint="eastAsia" w:ascii="宋体" w:hAnsi="宋体"/>
                <w:b w:val="0"/>
                <w:bCs w:val="0"/>
                <w:szCs w:val="21"/>
              </w:rPr>
            </w:pPr>
            <w:r>
              <w:rPr>
                <w:rFonts w:hint="eastAsia" w:ascii="宋体" w:hAnsi="宋体"/>
                <w:b w:val="0"/>
                <w:bCs w:val="0"/>
                <w:szCs w:val="21"/>
              </w:rPr>
              <w:t>安全装置试验；</w:t>
            </w:r>
          </w:p>
          <w:p w14:paraId="54FB78F6">
            <w:pPr>
              <w:pStyle w:val="11"/>
              <w:numPr>
                <w:ilvl w:val="0"/>
                <w:numId w:val="3"/>
              </w:numPr>
              <w:tabs>
                <w:tab w:val="left" w:pos="6915"/>
                <w:tab w:val="clear" w:pos="1428"/>
              </w:tabs>
              <w:ind w:firstLineChars="0"/>
              <w:jc w:val="left"/>
              <w:rPr>
                <w:rFonts w:hint="eastAsia" w:ascii="宋体" w:hAnsi="宋体"/>
                <w:b w:val="0"/>
                <w:bCs w:val="0"/>
                <w:szCs w:val="21"/>
              </w:rPr>
            </w:pPr>
            <w:r>
              <w:rPr>
                <w:rFonts w:hint="eastAsia" w:ascii="宋体" w:hAnsi="宋体"/>
                <w:b w:val="0"/>
                <w:bCs w:val="0"/>
                <w:szCs w:val="21"/>
              </w:rPr>
              <w:t>挠度及应力测试。</w:t>
            </w:r>
          </w:p>
          <w:p w14:paraId="2A5DA322">
            <w:pPr>
              <w:tabs>
                <w:tab w:val="left" w:pos="6915"/>
              </w:tabs>
              <w:jc w:val="left"/>
              <w:rPr>
                <w:rFonts w:ascii="Arial" w:hAnsi="Arial" w:eastAsia="宋体" w:cs="Arial"/>
                <w:szCs w:val="21"/>
                <w:shd w:val="clear" w:color="auto" w:fill="FFFFFF"/>
              </w:rPr>
            </w:pPr>
            <w:r>
              <w:rPr>
                <w:rFonts w:hint="eastAsia" w:ascii="宋体" w:hAnsi="宋体"/>
                <w:b/>
                <w:szCs w:val="21"/>
              </w:rPr>
              <w:t>保修</w:t>
            </w:r>
            <w:r>
              <w:rPr>
                <w:rFonts w:ascii="宋体" w:hAnsi="宋体"/>
                <w:b/>
                <w:szCs w:val="21"/>
              </w:rPr>
              <w:t>及售后服务</w:t>
            </w:r>
            <w:r>
              <w:rPr>
                <w:rFonts w:hint="eastAsia" w:ascii="宋体" w:hAnsi="宋体"/>
                <w:b/>
                <w:szCs w:val="21"/>
              </w:rPr>
              <w:t>：</w:t>
            </w:r>
            <w:r>
              <w:rPr>
                <w:rFonts w:ascii="宋体" w:hAnsi="宋体"/>
                <w:b w:val="0"/>
                <w:bCs/>
                <w:szCs w:val="21"/>
              </w:rPr>
              <w:t>整机质保至少</w:t>
            </w:r>
            <w:r>
              <w:rPr>
                <w:rFonts w:hint="eastAsia" w:ascii="宋体" w:hAnsi="宋体"/>
                <w:b w:val="0"/>
                <w:bCs/>
                <w:szCs w:val="21"/>
              </w:rPr>
              <w:t>2</w:t>
            </w:r>
            <w:r>
              <w:rPr>
                <w:rFonts w:ascii="宋体" w:hAnsi="宋体"/>
                <w:b w:val="0"/>
                <w:bCs/>
                <w:szCs w:val="21"/>
              </w:rPr>
              <w:t>年。三包期内免费提供（人为损坏除外）不限次数上门服务，除易损件（钢丝绳、刹车片、轴承等）和人为损坏收费，其余不收费；期满后仍保证提供售后服务，以优于市场的价格提供正品零部件，具体按产品质量保证书内容执行。质保期内货物出现质量问题的，乙方应自接到甲方异议之日起2日内以更换等方式解决，因此所发生的费用由乙方承担。乙方免费提供必要的技术咨询以确保甲方能安全、有效的使用标的货物。</w:t>
            </w:r>
            <w:bookmarkStart w:id="4" w:name="_GoBack"/>
            <w:bookmarkEnd w:id="4"/>
          </w:p>
        </w:tc>
        <w:tc>
          <w:tcPr>
            <w:tcW w:w="1418" w:type="dxa"/>
            <w:vAlign w:val="center"/>
          </w:tcPr>
          <w:p w14:paraId="324B1D27">
            <w:pPr>
              <w:spacing w:line="240" w:lineRule="atLeast"/>
              <w:jc w:val="center"/>
            </w:pPr>
          </w:p>
        </w:tc>
        <w:tc>
          <w:tcPr>
            <w:tcW w:w="992" w:type="dxa"/>
            <w:vAlign w:val="center"/>
          </w:tcPr>
          <w:p w14:paraId="06AA2CA0">
            <w:pPr>
              <w:spacing w:line="240" w:lineRule="atLeast"/>
              <w:jc w:val="center"/>
            </w:pPr>
          </w:p>
        </w:tc>
      </w:tr>
    </w:tbl>
    <w:p w14:paraId="6DFFEB29">
      <w:pPr>
        <w:ind w:right="840"/>
        <w:rPr>
          <w:sz w:val="24"/>
        </w:rPr>
      </w:pPr>
    </w:p>
    <w:p w14:paraId="0DED7F3B">
      <w:pPr>
        <w:ind w:right="840" w:firstLine="5040" w:firstLineChars="2100"/>
        <w:rPr>
          <w:sz w:val="24"/>
        </w:rPr>
      </w:pPr>
    </w:p>
    <w:p w14:paraId="6B36AD4F">
      <w:pPr>
        <w:ind w:right="840" w:firstLine="5040" w:firstLineChars="2100"/>
        <w:rPr>
          <w:sz w:val="24"/>
        </w:rPr>
      </w:pPr>
      <w:r>
        <w:rPr>
          <w:sz w:val="24"/>
        </w:rPr>
        <w:t>公司名称</w:t>
      </w:r>
      <w:r>
        <w:rPr>
          <w:rFonts w:hint="eastAsia"/>
          <w:sz w:val="24"/>
        </w:rPr>
        <w:t>（盖章）：</w:t>
      </w:r>
    </w:p>
    <w:p w14:paraId="2BA3965A">
      <w:pPr>
        <w:ind w:right="840"/>
        <w:jc w:val="center"/>
        <w:rPr>
          <w:sz w:val="24"/>
        </w:rPr>
      </w:pPr>
      <w:r>
        <w:rPr>
          <w:rFonts w:hint="eastAsia"/>
          <w:sz w:val="24"/>
        </w:rPr>
        <w:t xml:space="preserve"> </w:t>
      </w:r>
      <w:r>
        <w:rPr>
          <w:sz w:val="24"/>
        </w:rPr>
        <w:t xml:space="preserve">                            日期</w:t>
      </w:r>
      <w:r>
        <w:rPr>
          <w:rFonts w:hint="eastAsia"/>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YaHei">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3E72D7"/>
    <w:multiLevelType w:val="multilevel"/>
    <w:tmpl w:val="043E72D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A1E64FC"/>
    <w:multiLevelType w:val="multilevel"/>
    <w:tmpl w:val="0A1E64FC"/>
    <w:lvl w:ilvl="0" w:tentative="0">
      <w:start w:val="4"/>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34F4744"/>
    <w:multiLevelType w:val="multilevel"/>
    <w:tmpl w:val="534F4744"/>
    <w:lvl w:ilvl="0" w:tentative="0">
      <w:start w:val="4"/>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37"/>
    <w:rsid w:val="000110C4"/>
    <w:rsid w:val="00015CB8"/>
    <w:rsid w:val="00020783"/>
    <w:rsid w:val="00025804"/>
    <w:rsid w:val="00050922"/>
    <w:rsid w:val="00086882"/>
    <w:rsid w:val="00090223"/>
    <w:rsid w:val="00091C8D"/>
    <w:rsid w:val="000E54CE"/>
    <w:rsid w:val="00102C13"/>
    <w:rsid w:val="00123779"/>
    <w:rsid w:val="001501D1"/>
    <w:rsid w:val="001548E0"/>
    <w:rsid w:val="001B219D"/>
    <w:rsid w:val="001D3367"/>
    <w:rsid w:val="002026B2"/>
    <w:rsid w:val="002212AC"/>
    <w:rsid w:val="00261EE1"/>
    <w:rsid w:val="00267E42"/>
    <w:rsid w:val="002D1729"/>
    <w:rsid w:val="002E518A"/>
    <w:rsid w:val="003009AA"/>
    <w:rsid w:val="003438B5"/>
    <w:rsid w:val="00363C73"/>
    <w:rsid w:val="003923FC"/>
    <w:rsid w:val="003C2330"/>
    <w:rsid w:val="003C7C5A"/>
    <w:rsid w:val="004626C3"/>
    <w:rsid w:val="00474B94"/>
    <w:rsid w:val="004973C3"/>
    <w:rsid w:val="004B0D2F"/>
    <w:rsid w:val="00516FB3"/>
    <w:rsid w:val="00547A75"/>
    <w:rsid w:val="00584F75"/>
    <w:rsid w:val="005C4758"/>
    <w:rsid w:val="005C4AA6"/>
    <w:rsid w:val="005E2C0C"/>
    <w:rsid w:val="005F14E0"/>
    <w:rsid w:val="005F7E7B"/>
    <w:rsid w:val="006074C0"/>
    <w:rsid w:val="00630F8F"/>
    <w:rsid w:val="00642CDA"/>
    <w:rsid w:val="00670B3D"/>
    <w:rsid w:val="006C07B4"/>
    <w:rsid w:val="006D67E0"/>
    <w:rsid w:val="00705387"/>
    <w:rsid w:val="00720BC4"/>
    <w:rsid w:val="007230C5"/>
    <w:rsid w:val="00731AE1"/>
    <w:rsid w:val="00744E8E"/>
    <w:rsid w:val="00750961"/>
    <w:rsid w:val="00757D88"/>
    <w:rsid w:val="007A4C29"/>
    <w:rsid w:val="007B2AE3"/>
    <w:rsid w:val="00811B08"/>
    <w:rsid w:val="00825420"/>
    <w:rsid w:val="00832C3E"/>
    <w:rsid w:val="00872767"/>
    <w:rsid w:val="00877DA3"/>
    <w:rsid w:val="00886A2E"/>
    <w:rsid w:val="008A717C"/>
    <w:rsid w:val="008D62B6"/>
    <w:rsid w:val="008E3DB8"/>
    <w:rsid w:val="008F0FFC"/>
    <w:rsid w:val="008F5C2B"/>
    <w:rsid w:val="009149BA"/>
    <w:rsid w:val="00961437"/>
    <w:rsid w:val="00965011"/>
    <w:rsid w:val="00995429"/>
    <w:rsid w:val="00996AC3"/>
    <w:rsid w:val="009B6E26"/>
    <w:rsid w:val="009C3224"/>
    <w:rsid w:val="009C4C31"/>
    <w:rsid w:val="009F0C82"/>
    <w:rsid w:val="009F5C3A"/>
    <w:rsid w:val="00A01094"/>
    <w:rsid w:val="00A11447"/>
    <w:rsid w:val="00A20D98"/>
    <w:rsid w:val="00A27625"/>
    <w:rsid w:val="00A44E8A"/>
    <w:rsid w:val="00A533CA"/>
    <w:rsid w:val="00A8112C"/>
    <w:rsid w:val="00AC1D37"/>
    <w:rsid w:val="00AC67EF"/>
    <w:rsid w:val="00AF7A8B"/>
    <w:rsid w:val="00B04741"/>
    <w:rsid w:val="00B311D0"/>
    <w:rsid w:val="00B64004"/>
    <w:rsid w:val="00B7785A"/>
    <w:rsid w:val="00B90DC2"/>
    <w:rsid w:val="00B971DE"/>
    <w:rsid w:val="00BA1B3F"/>
    <w:rsid w:val="00BC2767"/>
    <w:rsid w:val="00C102A3"/>
    <w:rsid w:val="00C1298E"/>
    <w:rsid w:val="00C26D9F"/>
    <w:rsid w:val="00C442AD"/>
    <w:rsid w:val="00CA3288"/>
    <w:rsid w:val="00CA3E3B"/>
    <w:rsid w:val="00D011DC"/>
    <w:rsid w:val="00D04097"/>
    <w:rsid w:val="00D24D09"/>
    <w:rsid w:val="00D72E1E"/>
    <w:rsid w:val="00D81354"/>
    <w:rsid w:val="00E00131"/>
    <w:rsid w:val="00E147A9"/>
    <w:rsid w:val="00E5012E"/>
    <w:rsid w:val="00E762FD"/>
    <w:rsid w:val="00E930C8"/>
    <w:rsid w:val="00EA412A"/>
    <w:rsid w:val="00EA6BA9"/>
    <w:rsid w:val="00F347F0"/>
    <w:rsid w:val="00F34AE9"/>
    <w:rsid w:val="00F357B0"/>
    <w:rsid w:val="00F43549"/>
    <w:rsid w:val="00F50B62"/>
    <w:rsid w:val="00F70F95"/>
    <w:rsid w:val="00F829DE"/>
    <w:rsid w:val="00F82AA6"/>
    <w:rsid w:val="00F855E3"/>
    <w:rsid w:val="00FC7C08"/>
    <w:rsid w:val="00FE15FA"/>
    <w:rsid w:val="0C7718F8"/>
    <w:rsid w:val="2D070EC5"/>
    <w:rsid w:val="32E62025"/>
    <w:rsid w:val="46BB5348"/>
    <w:rsid w:val="51936088"/>
    <w:rsid w:val="668D6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line="278" w:lineRule="auto"/>
      <w:jc w:val="left"/>
    </w:pPr>
    <w:rPr>
      <w:rFonts w:ascii="Times New Roman" w:hAnsi="Times New Roman" w:eastAsia="宋体" w:cs="Times New Roman"/>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style01"/>
    <w:basedOn w:val="7"/>
    <w:qFormat/>
    <w:uiPriority w:val="0"/>
    <w:rPr>
      <w:rFonts w:hint="default" w:ascii="MicrosoftYaHei" w:hAnsi="MicrosoftYaHei"/>
      <w:color w:val="000000"/>
      <w:sz w:val="22"/>
      <w:szCs w:val="22"/>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styleId="11">
    <w:name w:val="List Paragraph"/>
    <w:basedOn w:val="1"/>
    <w:autoRedefine/>
    <w:qFormat/>
    <w:uiPriority w:val="34"/>
    <w:pPr>
      <w:tabs>
        <w:tab w:val="left" w:pos="1428"/>
      </w:tabs>
      <w:ind w:firstLine="420" w:firstLineChars="200"/>
      <w:jc w:val="left"/>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434</Words>
  <Characters>486</Characters>
  <Lines>4</Lines>
  <Paragraphs>1</Paragraphs>
  <TotalTime>0</TotalTime>
  <ScaleCrop>false</ScaleCrop>
  <LinksUpToDate>false</LinksUpToDate>
  <CharactersWithSpaces>515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2024-07-15T01:36:00Z</dcterms:created>
  <dc:creator>China</dc:creator>
  <cp:lastModifiedBy>陈文佳</cp:lastModifiedBy>
  <dcterms:modified xsi:type="dcterms:W3CDTF">2026-07-24T06:06:58Z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eyJoZGlkIjoiMzc0OTQ1OWZiNDc3Y2MyZmZmZWIzYzRlODQ4NDE3OTYiLCJ1c2VySWQiOiIxNzc0OTA2Mjk1In0=</vt:lpwstr>
  </property>
  <property fmtid="{D5CDD505-2E9C-101B-9397-08002B2CF9AE}" pid="3" name="KSOProductBuildVer">
    <vt:lpwstr>2052-12.1.0.23542</vt:lpwstr>
  </property>
  <property fmtid="{D5CDD505-2E9C-101B-9397-08002B2CF9AE}" pid="4" name="ICV">
    <vt:lpwstr>20B1B4D6E71F47CB8E65CCEFBC87FC75_12</vt:lpwstr>
  </property>
</Properties>
</file>