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10120"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249"/>
        <w:gridCol w:w="5991"/>
        <w:gridCol w:w="1403"/>
        <w:gridCol w:w="1041"/>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436" w:type="dxa"/>
            <w:vAlign w:val="center"/>
          </w:tcPr>
          <w:p w14:paraId="75C250BA">
            <w:pPr>
              <w:spacing w:line="240" w:lineRule="atLeast"/>
              <w:jc w:val="center"/>
              <w:rPr>
                <w:sz w:val="22"/>
              </w:rPr>
            </w:pPr>
            <w:r>
              <w:rPr>
                <w:rFonts w:hint="eastAsia"/>
                <w:sz w:val="22"/>
              </w:rPr>
              <w:t>序号</w:t>
            </w:r>
          </w:p>
        </w:tc>
        <w:tc>
          <w:tcPr>
            <w:tcW w:w="1249" w:type="dxa"/>
            <w:vAlign w:val="center"/>
          </w:tcPr>
          <w:p w14:paraId="3A9FF52B">
            <w:pPr>
              <w:spacing w:line="240" w:lineRule="atLeast"/>
              <w:jc w:val="center"/>
              <w:rPr>
                <w:sz w:val="22"/>
              </w:rPr>
            </w:pPr>
            <w:r>
              <w:rPr>
                <w:rFonts w:hint="eastAsia"/>
                <w:sz w:val="22"/>
              </w:rPr>
              <w:t>名称</w:t>
            </w:r>
          </w:p>
        </w:tc>
        <w:tc>
          <w:tcPr>
            <w:tcW w:w="5991" w:type="dxa"/>
            <w:vAlign w:val="center"/>
          </w:tcPr>
          <w:p w14:paraId="258D475E">
            <w:pPr>
              <w:spacing w:line="240" w:lineRule="atLeast"/>
              <w:jc w:val="center"/>
              <w:rPr>
                <w:sz w:val="22"/>
              </w:rPr>
            </w:pPr>
            <w:r>
              <w:rPr>
                <w:rFonts w:hint="eastAsia"/>
                <w:sz w:val="22"/>
              </w:rPr>
              <w:t>技术指标</w:t>
            </w:r>
          </w:p>
        </w:tc>
        <w:tc>
          <w:tcPr>
            <w:tcW w:w="1403"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1041"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436" w:type="dxa"/>
            <w:vAlign w:val="center"/>
          </w:tcPr>
          <w:p w14:paraId="185CA09D">
            <w:pPr>
              <w:spacing w:line="240" w:lineRule="atLeast"/>
              <w:jc w:val="center"/>
            </w:pPr>
            <w:r>
              <w:rPr>
                <w:rFonts w:hint="eastAsia"/>
              </w:rPr>
              <w:t>1</w:t>
            </w:r>
          </w:p>
        </w:tc>
        <w:tc>
          <w:tcPr>
            <w:tcW w:w="1249" w:type="dxa"/>
            <w:tcBorders>
              <w:bottom w:val="single" w:color="auto" w:sz="4" w:space="0"/>
            </w:tcBorders>
            <w:shd w:val="clear" w:color="auto" w:fill="auto"/>
            <w:vAlign w:val="center"/>
          </w:tcPr>
          <w:p w14:paraId="7E88FD24">
            <w:pPr>
              <w:widowControl/>
              <w:spacing w:line="240" w:lineRule="atLeast"/>
              <w:jc w:val="center"/>
              <w:rPr>
                <w:rFonts w:ascii="Times New Roman" w:hAnsi="Times New Roman" w:eastAsia="宋体" w:cs="Times New Roman"/>
                <w:szCs w:val="24"/>
              </w:rPr>
            </w:pPr>
            <w:r>
              <w:rPr>
                <w:rFonts w:hint="eastAsia" w:ascii="Times New Roman" w:hAnsi="Times New Roman" w:eastAsia="宋体" w:cs="Times New Roman"/>
                <w:b w:val="0"/>
                <w:bCs w:val="0"/>
                <w:sz w:val="24"/>
                <w:szCs w:val="24"/>
              </w:rPr>
              <w:t>机械泵</w:t>
            </w:r>
            <w:r>
              <w:rPr>
                <w:rFonts w:hint="eastAsia" w:ascii="Times New Roman" w:hAnsi="Times New Roman" w:eastAsia="宋体" w:cs="Times New Roman"/>
                <w:b/>
                <w:bCs/>
                <w:sz w:val="24"/>
                <w:szCs w:val="24"/>
              </w:rPr>
              <w:t xml:space="preserve"> </w:t>
            </w:r>
          </w:p>
        </w:tc>
        <w:tc>
          <w:tcPr>
            <w:tcW w:w="5991" w:type="dxa"/>
            <w:tcBorders>
              <w:bottom w:val="single" w:color="auto" w:sz="4" w:space="0"/>
            </w:tcBorders>
            <w:shd w:val="clear" w:color="auto" w:fill="auto"/>
            <w:vAlign w:val="center"/>
          </w:tcPr>
          <w:p w14:paraId="0375824B">
            <w:pPr>
              <w:tabs>
                <w:tab w:val="left" w:pos="6915"/>
              </w:tabs>
              <w:jc w:val="left"/>
              <w:rPr>
                <w:rFonts w:hint="eastAsia" w:ascii="宋体" w:hAnsi="宋体" w:cs="宋体"/>
                <w:bCs/>
                <w:sz w:val="21"/>
                <w:szCs w:val="20"/>
              </w:rPr>
            </w:pPr>
            <w:r>
              <w:rPr>
                <w:rFonts w:hint="eastAsia" w:ascii="宋体" w:hAnsi="宋体" w:cs="宋体"/>
                <w:bCs/>
                <w:sz w:val="21"/>
                <w:szCs w:val="20"/>
              </w:rPr>
              <w:t>国家同步辐射实验室的各实验站需要在超高真空状态连续运转并对用户开放。</w:t>
            </w:r>
          </w:p>
          <w:p w14:paraId="2DF0364E">
            <w:pPr>
              <w:tabs>
                <w:tab w:val="left" w:pos="6915"/>
              </w:tabs>
              <w:jc w:val="left"/>
              <w:rPr>
                <w:rFonts w:hint="eastAsia" w:ascii="宋体" w:hAnsi="宋体" w:cs="宋体"/>
                <w:bCs/>
                <w:sz w:val="21"/>
                <w:szCs w:val="20"/>
              </w:rPr>
            </w:pPr>
            <w:r>
              <w:rPr>
                <w:rFonts w:hint="eastAsia" w:ascii="宋体" w:hAnsi="宋体" w:cs="宋体"/>
                <w:bCs/>
                <w:sz w:val="21"/>
                <w:szCs w:val="20"/>
              </w:rPr>
              <w:t>超高真空状态的维持需要各种真空泵，由于设备运行是二十四小时连续工作，且工作环境具有一定的辐射，因此，需常备各型备品备件及时更换，保证设备可持续良好运行。</w:t>
            </w:r>
          </w:p>
          <w:p w14:paraId="0B3426CC">
            <w:pPr>
              <w:tabs>
                <w:tab w:val="left" w:pos="6915"/>
              </w:tabs>
              <w:jc w:val="left"/>
              <w:rPr>
                <w:bCs/>
                <w:sz w:val="24"/>
              </w:rPr>
            </w:pPr>
            <w:r>
              <w:rPr>
                <w:rFonts w:hint="eastAsia" w:ascii="宋体" w:hAnsi="宋体" w:cs="宋体"/>
                <w:bCs/>
                <w:sz w:val="21"/>
                <w:szCs w:val="20"/>
              </w:rPr>
              <w:t>根据以上要求，本次拟采购的设备具体为:</w:t>
            </w:r>
            <w:r>
              <w:rPr>
                <w:rFonts w:hint="eastAsia" w:ascii="宋体" w:hAnsi="宋体" w:cs="宋体"/>
                <w:bCs/>
                <w:sz w:val="21"/>
                <w:szCs w:val="20"/>
              </w:rPr>
              <w:br w:type="textWrapping"/>
            </w:r>
            <w:r>
              <w:rPr>
                <w:rFonts w:hint="eastAsia" w:ascii="宋体" w:hAnsi="宋体" w:cs="宋体"/>
                <w:bCs/>
                <w:sz w:val="21"/>
                <w:szCs w:val="20"/>
              </w:rPr>
              <w:t>1，涡旋干泵（数量：1台）：抽速大于10m</w:t>
            </w:r>
            <w:r>
              <w:rPr>
                <w:rFonts w:hint="eastAsia" w:ascii="宋体" w:hAnsi="宋体" w:cs="宋体"/>
                <w:bCs/>
                <w:sz w:val="21"/>
                <w:szCs w:val="20"/>
                <w:vertAlign w:val="superscript"/>
              </w:rPr>
              <w:t>3</w:t>
            </w:r>
            <w:r>
              <w:rPr>
                <w:rFonts w:hint="eastAsia" w:ascii="宋体" w:hAnsi="宋体" w:cs="宋体"/>
                <w:bCs/>
                <w:sz w:val="21"/>
                <w:szCs w:val="20"/>
              </w:rPr>
              <w:t>/h，极限真空优于0.01 mbar;含气镇结构;运行噪声低于55dB;配国标电源接口，含220V电源线。</w:t>
            </w:r>
            <w:r>
              <w:rPr>
                <w:rFonts w:hint="eastAsia" w:ascii="宋体" w:hAnsi="宋体" w:cs="宋体"/>
                <w:bCs/>
                <w:sz w:val="21"/>
                <w:szCs w:val="20"/>
              </w:rPr>
              <w:br w:type="textWrapping"/>
            </w:r>
            <w:r>
              <w:rPr>
                <w:rFonts w:hint="eastAsia" w:ascii="宋体" w:hAnsi="宋体" w:cs="宋体"/>
                <w:bCs/>
                <w:sz w:val="21"/>
                <w:szCs w:val="20"/>
              </w:rPr>
              <w:t>2，涡旋干泵（数量：1台）：抽速15m</w:t>
            </w:r>
            <w:r>
              <w:rPr>
                <w:rFonts w:hint="eastAsia" w:ascii="宋体" w:hAnsi="宋体" w:cs="宋体"/>
                <w:bCs/>
                <w:sz w:val="21"/>
                <w:szCs w:val="20"/>
                <w:vertAlign w:val="superscript"/>
              </w:rPr>
              <w:t>3</w:t>
            </w:r>
            <w:r>
              <w:rPr>
                <w:rFonts w:hint="eastAsia" w:ascii="宋体" w:hAnsi="宋体" w:cs="宋体"/>
                <w:bCs/>
                <w:sz w:val="21"/>
                <w:szCs w:val="20"/>
              </w:rPr>
              <w:t>/h，极限真空优于0.01mbar;含气镇结构;运行噪声低于55dB;配国标电源接口，含220V电源线。</w:t>
            </w:r>
            <w:r>
              <w:rPr>
                <w:rFonts w:hint="eastAsia" w:ascii="宋体" w:hAnsi="宋体" w:cs="宋体"/>
                <w:bCs/>
                <w:sz w:val="21"/>
                <w:szCs w:val="20"/>
              </w:rPr>
              <w:br w:type="textWrapping"/>
            </w:r>
            <w:r>
              <w:rPr>
                <w:rFonts w:hint="eastAsia" w:ascii="宋体" w:hAnsi="宋体" w:cs="宋体"/>
                <w:bCs/>
                <w:sz w:val="21"/>
                <w:szCs w:val="20"/>
              </w:rPr>
              <w:t>3，多级罗茨泵（数量：1台）：抽速大于25m</w:t>
            </w:r>
            <w:r>
              <w:rPr>
                <w:rFonts w:hint="eastAsia" w:ascii="宋体" w:hAnsi="宋体" w:cs="宋体"/>
                <w:bCs/>
                <w:sz w:val="21"/>
                <w:szCs w:val="20"/>
                <w:vertAlign w:val="superscript"/>
              </w:rPr>
              <w:t>3</w:t>
            </w:r>
            <w:r>
              <w:rPr>
                <w:rFonts w:hint="eastAsia" w:ascii="宋体" w:hAnsi="宋体" w:cs="宋体"/>
                <w:bCs/>
                <w:sz w:val="21"/>
                <w:szCs w:val="20"/>
              </w:rPr>
              <w:t>/h，极限真空优于0.03 mbar;含气镇结构;运行噪声低于55dB;配国标电源接口，含220V电源线。</w:t>
            </w:r>
          </w:p>
        </w:tc>
        <w:tc>
          <w:tcPr>
            <w:tcW w:w="1403" w:type="dxa"/>
            <w:vAlign w:val="center"/>
          </w:tcPr>
          <w:p w14:paraId="205FF5AB">
            <w:pPr>
              <w:spacing w:line="240" w:lineRule="atLeast"/>
              <w:jc w:val="center"/>
            </w:pPr>
          </w:p>
        </w:tc>
        <w:tc>
          <w:tcPr>
            <w:tcW w:w="1041"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436" w:type="dxa"/>
            <w:vAlign w:val="center"/>
          </w:tcPr>
          <w:p w14:paraId="21D5CC9B">
            <w:pPr>
              <w:spacing w:line="240" w:lineRule="atLeast"/>
              <w:jc w:val="center"/>
            </w:pPr>
            <w:r>
              <w:t>2</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991" w:type="dxa"/>
            <w:tcBorders>
              <w:top w:val="single" w:color="auto" w:sz="4" w:space="0"/>
              <w:left w:val="nil"/>
              <w:bottom w:val="single" w:color="auto" w:sz="4" w:space="0"/>
              <w:right w:val="single" w:color="auto" w:sz="4" w:space="0"/>
            </w:tcBorders>
            <w:shd w:val="clear" w:color="auto" w:fill="auto"/>
            <w:vAlign w:val="center"/>
          </w:tcPr>
          <w:p w14:paraId="75A1FD61">
            <w:pPr>
              <w:tabs>
                <w:tab w:val="left" w:pos="6915"/>
              </w:tabs>
              <w:jc w:val="left"/>
              <w:rPr>
                <w:rFonts w:ascii="宋体" w:hAnsi="宋体"/>
                <w:b/>
                <w:szCs w:val="21"/>
              </w:rPr>
            </w:pPr>
            <w:r>
              <w:rPr>
                <w:rFonts w:ascii="宋体" w:hAnsi="宋体"/>
                <w:b/>
                <w:szCs w:val="21"/>
              </w:rPr>
              <w:t>交货期</w:t>
            </w:r>
            <w:r>
              <w:rPr>
                <w:rFonts w:hint="eastAsia" w:ascii="宋体" w:hAnsi="宋体"/>
                <w:b/>
                <w:szCs w:val="21"/>
              </w:rPr>
              <w:t>：</w:t>
            </w:r>
            <w:r>
              <w:rPr>
                <w:rFonts w:hint="eastAsia" w:ascii="宋体" w:hAnsi="宋体"/>
                <w:b w:val="0"/>
                <w:bCs/>
                <w:szCs w:val="21"/>
                <w:lang w:val="en-US" w:eastAsia="zh-CN"/>
              </w:rPr>
              <w:t>合同签订后9个月。</w:t>
            </w:r>
          </w:p>
          <w:p w14:paraId="379C6791">
            <w:pPr>
              <w:tabs>
                <w:tab w:val="left" w:pos="6915"/>
              </w:tabs>
              <w:jc w:val="left"/>
              <w:rPr>
                <w:rFonts w:ascii="宋体" w:hAnsi="宋体"/>
                <w:b/>
                <w:szCs w:val="21"/>
              </w:rPr>
            </w:pPr>
            <w:r>
              <w:rPr>
                <w:rFonts w:ascii="宋体" w:hAnsi="宋体"/>
                <w:b/>
                <w:szCs w:val="21"/>
              </w:rPr>
              <w:t>交付进度</w:t>
            </w:r>
            <w:r>
              <w:rPr>
                <w:rFonts w:hint="eastAsia" w:ascii="宋体" w:hAnsi="宋体"/>
                <w:b/>
                <w:szCs w:val="21"/>
              </w:rPr>
              <w:t>：</w:t>
            </w:r>
            <w:r>
              <w:rPr>
                <w:rFonts w:hint="eastAsia" w:ascii="宋体" w:hAnsi="宋体"/>
                <w:b w:val="0"/>
                <w:bCs/>
                <w:szCs w:val="21"/>
                <w:lang w:val="en-US" w:eastAsia="zh-CN"/>
              </w:rPr>
              <w:t>一次性交付</w:t>
            </w:r>
          </w:p>
          <w:p w14:paraId="4C34648A">
            <w:pPr>
              <w:tabs>
                <w:tab w:val="left" w:pos="6915"/>
              </w:tabs>
              <w:jc w:val="left"/>
              <w:rPr>
                <w:rFonts w:ascii="宋体" w:hAnsi="宋体"/>
                <w:b/>
                <w:szCs w:val="21"/>
              </w:rPr>
            </w:pPr>
            <w:r>
              <w:rPr>
                <w:rFonts w:ascii="宋体" w:hAnsi="宋体"/>
                <w:b/>
                <w:szCs w:val="21"/>
              </w:rPr>
              <w:t>付款方式</w:t>
            </w:r>
            <w:r>
              <w:rPr>
                <w:rFonts w:hint="eastAsia" w:ascii="宋体" w:hAnsi="宋体"/>
                <w:b/>
                <w:szCs w:val="21"/>
              </w:rPr>
              <w:t>：</w:t>
            </w:r>
            <w:r>
              <w:rPr>
                <w:rFonts w:hint="eastAsia" w:ascii="宋体" w:hAnsi="宋体"/>
                <w:b w:val="0"/>
                <w:bCs/>
                <w:szCs w:val="21"/>
              </w:rPr>
              <w:t>采用信用证方式或凭发货单据（运单）电汇预付比例不超过90%，尾款待验收合格之后支付。</w:t>
            </w:r>
          </w:p>
          <w:p w14:paraId="6D36D77A">
            <w:pPr>
              <w:tabs>
                <w:tab w:val="left" w:pos="6915"/>
              </w:tabs>
              <w:jc w:val="left"/>
              <w:rPr>
                <w:rFonts w:ascii="宋体" w:hAnsi="宋体"/>
                <w:b/>
                <w:szCs w:val="21"/>
              </w:rPr>
            </w:pPr>
            <w:r>
              <w:rPr>
                <w:rFonts w:hint="eastAsia" w:ascii="宋体" w:hAnsi="宋体"/>
                <w:b/>
                <w:szCs w:val="21"/>
              </w:rPr>
              <w:t>验收指标及验收要求：</w:t>
            </w:r>
            <w:r>
              <w:rPr>
                <w:rFonts w:hint="eastAsia" w:ascii="宋体" w:hAnsi="宋体"/>
                <w:b w:val="0"/>
                <w:bCs/>
                <w:szCs w:val="21"/>
                <w:lang w:val="en-US" w:eastAsia="zh-CN"/>
              </w:rPr>
              <w:t>测试泵的抽速、极限真空及平稳运行时的噪音数值。</w:t>
            </w:r>
          </w:p>
          <w:p w14:paraId="2AF05B4A">
            <w:pPr>
              <w:tabs>
                <w:tab w:val="left" w:pos="6915"/>
              </w:tabs>
              <w:jc w:val="left"/>
              <w:rPr>
                <w:rFonts w:hint="eastAsia" w:ascii="宋体" w:hAnsi="宋体" w:eastAsia="宋体" w:cs="宋体"/>
                <w:bCs/>
                <w:szCs w:val="21"/>
              </w:rPr>
            </w:pPr>
            <w:r>
              <w:rPr>
                <w:rFonts w:hint="eastAsia" w:ascii="宋体" w:hAnsi="宋体"/>
                <w:b/>
                <w:szCs w:val="21"/>
              </w:rPr>
              <w:t>保修</w:t>
            </w:r>
            <w:r>
              <w:rPr>
                <w:rFonts w:ascii="宋体" w:hAnsi="宋体"/>
                <w:b/>
                <w:szCs w:val="21"/>
              </w:rPr>
              <w:t>及售后服务</w:t>
            </w:r>
            <w:r>
              <w:rPr>
                <w:rFonts w:hint="eastAsia" w:ascii="宋体" w:hAnsi="宋体"/>
                <w:b/>
                <w:szCs w:val="21"/>
              </w:rPr>
              <w:t>：</w:t>
            </w:r>
            <w:r>
              <w:rPr>
                <w:rFonts w:hint="eastAsia" w:ascii="宋体" w:hAnsi="宋体"/>
                <w:b w:val="0"/>
                <w:bCs/>
                <w:szCs w:val="21"/>
                <w:lang w:val="en-US" w:eastAsia="zh-CN"/>
              </w:rPr>
              <w:t>验收后一年时间提供免费质保；如设备有问题48小时内售后到达现场检测。</w:t>
            </w:r>
            <w:bookmarkStart w:id="0" w:name="_GoBack"/>
            <w:bookmarkEnd w:id="0"/>
          </w:p>
        </w:tc>
        <w:tc>
          <w:tcPr>
            <w:tcW w:w="1403" w:type="dxa"/>
            <w:vAlign w:val="center"/>
          </w:tcPr>
          <w:p w14:paraId="324B1D27">
            <w:pPr>
              <w:spacing w:line="240" w:lineRule="atLeast"/>
              <w:jc w:val="center"/>
            </w:pPr>
          </w:p>
        </w:tc>
        <w:tc>
          <w:tcPr>
            <w:tcW w:w="1041" w:type="dxa"/>
            <w:vAlign w:val="center"/>
          </w:tcPr>
          <w:p w14:paraId="06AA2CA0">
            <w:pPr>
              <w:spacing w:line="240" w:lineRule="atLeast"/>
              <w:jc w:val="center"/>
            </w:pPr>
          </w:p>
        </w:tc>
      </w:tr>
    </w:tbl>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50922"/>
    <w:rsid w:val="00086882"/>
    <w:rsid w:val="00090223"/>
    <w:rsid w:val="00091C8D"/>
    <w:rsid w:val="000E54CE"/>
    <w:rsid w:val="00102C13"/>
    <w:rsid w:val="00123779"/>
    <w:rsid w:val="001501D1"/>
    <w:rsid w:val="00151303"/>
    <w:rsid w:val="001548E0"/>
    <w:rsid w:val="00180627"/>
    <w:rsid w:val="001B219D"/>
    <w:rsid w:val="001D3367"/>
    <w:rsid w:val="001E2CE3"/>
    <w:rsid w:val="002026B2"/>
    <w:rsid w:val="002212AC"/>
    <w:rsid w:val="00261EE1"/>
    <w:rsid w:val="00267E42"/>
    <w:rsid w:val="002D1729"/>
    <w:rsid w:val="002E518A"/>
    <w:rsid w:val="003009AA"/>
    <w:rsid w:val="00363C73"/>
    <w:rsid w:val="003923FC"/>
    <w:rsid w:val="003C2330"/>
    <w:rsid w:val="003C7C5A"/>
    <w:rsid w:val="004626C3"/>
    <w:rsid w:val="004973C3"/>
    <w:rsid w:val="004B0D2F"/>
    <w:rsid w:val="00516FB3"/>
    <w:rsid w:val="00547A75"/>
    <w:rsid w:val="00584F75"/>
    <w:rsid w:val="005C4758"/>
    <w:rsid w:val="005D36D5"/>
    <w:rsid w:val="005E2C0C"/>
    <w:rsid w:val="005F7E7B"/>
    <w:rsid w:val="00630F8F"/>
    <w:rsid w:val="00642CDA"/>
    <w:rsid w:val="00670B3D"/>
    <w:rsid w:val="006B62DC"/>
    <w:rsid w:val="006C07B4"/>
    <w:rsid w:val="006D67E0"/>
    <w:rsid w:val="00705387"/>
    <w:rsid w:val="00720BC4"/>
    <w:rsid w:val="007230C5"/>
    <w:rsid w:val="00731AE1"/>
    <w:rsid w:val="00744E8E"/>
    <w:rsid w:val="00750961"/>
    <w:rsid w:val="00757D88"/>
    <w:rsid w:val="00763EDD"/>
    <w:rsid w:val="007B2AE3"/>
    <w:rsid w:val="00811B08"/>
    <w:rsid w:val="00825420"/>
    <w:rsid w:val="00832C3E"/>
    <w:rsid w:val="00841F33"/>
    <w:rsid w:val="00872767"/>
    <w:rsid w:val="00877DA3"/>
    <w:rsid w:val="008A717C"/>
    <w:rsid w:val="008D62B6"/>
    <w:rsid w:val="008E3DB8"/>
    <w:rsid w:val="008F0FFC"/>
    <w:rsid w:val="008F5C2B"/>
    <w:rsid w:val="009149BA"/>
    <w:rsid w:val="00961437"/>
    <w:rsid w:val="00995429"/>
    <w:rsid w:val="00996AC3"/>
    <w:rsid w:val="009B6E26"/>
    <w:rsid w:val="009C3224"/>
    <w:rsid w:val="009C4C31"/>
    <w:rsid w:val="009E2F9A"/>
    <w:rsid w:val="009F5C3A"/>
    <w:rsid w:val="00A01094"/>
    <w:rsid w:val="00A11447"/>
    <w:rsid w:val="00A20D98"/>
    <w:rsid w:val="00A27625"/>
    <w:rsid w:val="00A44E8A"/>
    <w:rsid w:val="00A533CA"/>
    <w:rsid w:val="00A66F06"/>
    <w:rsid w:val="00A7013F"/>
    <w:rsid w:val="00A8112C"/>
    <w:rsid w:val="00AC1D37"/>
    <w:rsid w:val="00AC67EF"/>
    <w:rsid w:val="00AE3028"/>
    <w:rsid w:val="00AF7A8B"/>
    <w:rsid w:val="00B0175F"/>
    <w:rsid w:val="00B04741"/>
    <w:rsid w:val="00B311D0"/>
    <w:rsid w:val="00B64004"/>
    <w:rsid w:val="00B7785A"/>
    <w:rsid w:val="00B90DC2"/>
    <w:rsid w:val="00B971DE"/>
    <w:rsid w:val="00BA1B3F"/>
    <w:rsid w:val="00BC2767"/>
    <w:rsid w:val="00BD701B"/>
    <w:rsid w:val="00C102A3"/>
    <w:rsid w:val="00C1298E"/>
    <w:rsid w:val="00C26D9F"/>
    <w:rsid w:val="00C420C3"/>
    <w:rsid w:val="00C442AD"/>
    <w:rsid w:val="00CA3288"/>
    <w:rsid w:val="00CA3E3B"/>
    <w:rsid w:val="00D011DC"/>
    <w:rsid w:val="00D04097"/>
    <w:rsid w:val="00D16AC0"/>
    <w:rsid w:val="00D24D09"/>
    <w:rsid w:val="00D72E1E"/>
    <w:rsid w:val="00D81354"/>
    <w:rsid w:val="00DA7BF9"/>
    <w:rsid w:val="00E00131"/>
    <w:rsid w:val="00E0215E"/>
    <w:rsid w:val="00E147A9"/>
    <w:rsid w:val="00E31AA5"/>
    <w:rsid w:val="00E5012E"/>
    <w:rsid w:val="00E762FD"/>
    <w:rsid w:val="00E930C8"/>
    <w:rsid w:val="00EA412A"/>
    <w:rsid w:val="00EA6BA9"/>
    <w:rsid w:val="00EB6224"/>
    <w:rsid w:val="00EB6FB2"/>
    <w:rsid w:val="00EC5A9D"/>
    <w:rsid w:val="00F02F94"/>
    <w:rsid w:val="00F26580"/>
    <w:rsid w:val="00F347F0"/>
    <w:rsid w:val="00F34AE9"/>
    <w:rsid w:val="00F357B0"/>
    <w:rsid w:val="00F43549"/>
    <w:rsid w:val="00F50B62"/>
    <w:rsid w:val="00F70F95"/>
    <w:rsid w:val="00F82AA6"/>
    <w:rsid w:val="00F855E3"/>
    <w:rsid w:val="00FA453C"/>
    <w:rsid w:val="00FC7C08"/>
    <w:rsid w:val="00FE15FA"/>
    <w:rsid w:val="00FF78CF"/>
    <w:rsid w:val="0279069A"/>
    <w:rsid w:val="07416EBF"/>
    <w:rsid w:val="093C12EB"/>
    <w:rsid w:val="0EB47357"/>
    <w:rsid w:val="24FF7627"/>
    <w:rsid w:val="251E174D"/>
    <w:rsid w:val="2BB17E2A"/>
    <w:rsid w:val="2D070EC5"/>
    <w:rsid w:val="40512489"/>
    <w:rsid w:val="468B21C7"/>
    <w:rsid w:val="46BF17AE"/>
    <w:rsid w:val="47494CC3"/>
    <w:rsid w:val="48EB0E6F"/>
    <w:rsid w:val="521F7D99"/>
    <w:rsid w:val="58533025"/>
    <w:rsid w:val="5DC766F2"/>
    <w:rsid w:val="64331764"/>
    <w:rsid w:val="6DA20D7D"/>
    <w:rsid w:val="70E72ABF"/>
    <w:rsid w:val="79B03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99"/>
    <w:pPr>
      <w:tabs>
        <w:tab w:val="left" w:pos="1428"/>
      </w:tabs>
      <w:ind w:firstLine="420" w:firstLineChars="200"/>
      <w:jc w:val="left"/>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Pages>
  <Words>825</Words>
  <Characters>997</Characters>
  <Lines>11</Lines>
  <Paragraphs>3</Paragraphs>
  <TotalTime>0</TotalTime>
  <ScaleCrop>false</ScaleCrop>
  <LinksUpToDate>false</LinksUpToDate>
  <CharactersWithSpaces>1040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2026-05-06T07:38:44Z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eyJoZGlkIjoiMzc0OTQ1OWZiNDc3Y2MyZmZmZWIzYzRlODQ4NDE3OTYiLCJ1c2VySWQiOiIxNzc0OTA2Mjk1In0=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