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9955E">
      <w:pPr>
        <w:jc w:val="center"/>
        <w:rPr>
          <w:sz w:val="36"/>
        </w:rPr>
      </w:pPr>
      <w:r>
        <w:rPr>
          <w:sz w:val="36"/>
        </w:rPr>
        <w:t>中国科学技术大学国家同步辐射实验室</w:t>
      </w:r>
    </w:p>
    <w:p w14:paraId="0973E65B">
      <w:pPr>
        <w:jc w:val="center"/>
        <w:rPr>
          <w:sz w:val="36"/>
        </w:rPr>
      </w:pPr>
      <w:r>
        <w:rPr>
          <w:rFonts w:hint="eastAsia"/>
          <w:sz w:val="36"/>
        </w:rPr>
        <w:t>技术指标供应商确认表</w:t>
      </w:r>
    </w:p>
    <w:p w14:paraId="3E58F52B"/>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422"/>
        <w:gridCol w:w="5244"/>
        <w:gridCol w:w="1418"/>
        <w:gridCol w:w="992"/>
      </w:tblGrid>
      <w:tr w14:paraId="3979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05" w:type="dxa"/>
            <w:vAlign w:val="center"/>
          </w:tcPr>
          <w:p w14:paraId="75C250BA">
            <w:pPr>
              <w:spacing w:line="240" w:lineRule="atLeast"/>
              <w:jc w:val="center"/>
              <w:rPr>
                <w:sz w:val="22"/>
              </w:rPr>
            </w:pPr>
            <w:r>
              <w:rPr>
                <w:rFonts w:hint="eastAsia"/>
                <w:sz w:val="22"/>
              </w:rPr>
              <w:t>序号</w:t>
            </w:r>
          </w:p>
        </w:tc>
        <w:tc>
          <w:tcPr>
            <w:tcW w:w="1422" w:type="dxa"/>
            <w:vAlign w:val="center"/>
          </w:tcPr>
          <w:p w14:paraId="3A9FF52B">
            <w:pPr>
              <w:spacing w:line="240" w:lineRule="atLeast"/>
              <w:jc w:val="center"/>
              <w:rPr>
                <w:sz w:val="22"/>
              </w:rPr>
            </w:pPr>
            <w:r>
              <w:rPr>
                <w:rFonts w:hint="eastAsia"/>
                <w:sz w:val="22"/>
              </w:rPr>
              <w:t>名称</w:t>
            </w:r>
          </w:p>
        </w:tc>
        <w:tc>
          <w:tcPr>
            <w:tcW w:w="5244" w:type="dxa"/>
            <w:vAlign w:val="center"/>
          </w:tcPr>
          <w:p w14:paraId="258D475E">
            <w:pPr>
              <w:spacing w:line="240" w:lineRule="atLeast"/>
              <w:jc w:val="center"/>
              <w:rPr>
                <w:sz w:val="22"/>
              </w:rPr>
            </w:pPr>
            <w:r>
              <w:rPr>
                <w:rFonts w:hint="eastAsia"/>
                <w:sz w:val="22"/>
              </w:rPr>
              <w:t>技术指标</w:t>
            </w:r>
          </w:p>
        </w:tc>
        <w:tc>
          <w:tcPr>
            <w:tcW w:w="1418" w:type="dxa"/>
            <w:vAlign w:val="center"/>
          </w:tcPr>
          <w:p w14:paraId="37F7A556">
            <w:pPr>
              <w:spacing w:line="240" w:lineRule="atLeast"/>
              <w:jc w:val="center"/>
              <w:rPr>
                <w:szCs w:val="21"/>
              </w:rPr>
            </w:pPr>
            <w:r>
              <w:rPr>
                <w:rFonts w:hint="eastAsia"/>
                <w:szCs w:val="21"/>
              </w:rPr>
              <w:t>偏离说明</w:t>
            </w:r>
          </w:p>
          <w:p w14:paraId="328E92F5">
            <w:pPr>
              <w:spacing w:line="240" w:lineRule="atLeast"/>
              <w:jc w:val="center"/>
              <w:rPr>
                <w:sz w:val="24"/>
              </w:rPr>
            </w:pPr>
            <w:r>
              <w:rPr>
                <w:rFonts w:hint="eastAsia"/>
                <w:szCs w:val="21"/>
              </w:rPr>
              <w:t>(</w:t>
            </w:r>
            <w:r>
              <w:rPr>
                <w:szCs w:val="21"/>
              </w:rPr>
              <w:t>无偏离</w:t>
            </w:r>
            <w:r>
              <w:rPr>
                <w:rFonts w:hint="eastAsia"/>
                <w:szCs w:val="21"/>
              </w:rPr>
              <w:t>/</w:t>
            </w:r>
            <w:r>
              <w:rPr>
                <w:szCs w:val="21"/>
              </w:rPr>
              <w:t>正偏离</w:t>
            </w:r>
            <w:r>
              <w:rPr>
                <w:rFonts w:hint="eastAsia"/>
                <w:szCs w:val="21"/>
              </w:rPr>
              <w:t>/</w:t>
            </w:r>
            <w:r>
              <w:rPr>
                <w:szCs w:val="21"/>
              </w:rPr>
              <w:t>负偏离</w:t>
            </w:r>
            <w:r>
              <w:rPr>
                <w:rFonts w:hint="eastAsia"/>
                <w:szCs w:val="21"/>
              </w:rPr>
              <w:t>)</w:t>
            </w:r>
          </w:p>
        </w:tc>
        <w:tc>
          <w:tcPr>
            <w:tcW w:w="992" w:type="dxa"/>
            <w:vAlign w:val="center"/>
          </w:tcPr>
          <w:p w14:paraId="22A89C1E">
            <w:pPr>
              <w:spacing w:line="240" w:lineRule="atLeast"/>
              <w:jc w:val="center"/>
              <w:rPr>
                <w:sz w:val="24"/>
              </w:rPr>
            </w:pPr>
            <w:r>
              <w:rPr>
                <w:rFonts w:hint="eastAsia"/>
                <w:sz w:val="22"/>
              </w:rPr>
              <w:t>偏离值</w:t>
            </w:r>
          </w:p>
        </w:tc>
      </w:tr>
      <w:tr w14:paraId="39438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705" w:type="dxa"/>
            <w:vAlign w:val="center"/>
          </w:tcPr>
          <w:p w14:paraId="185CA09D">
            <w:pPr>
              <w:spacing w:line="240" w:lineRule="atLeast"/>
              <w:jc w:val="center"/>
            </w:pPr>
            <w:r>
              <w:rPr>
                <w:rFonts w:hint="eastAsia"/>
              </w:rPr>
              <w:t>1</w:t>
            </w:r>
          </w:p>
        </w:tc>
        <w:tc>
          <w:tcPr>
            <w:tcW w:w="1422" w:type="dxa"/>
            <w:tcBorders>
              <w:bottom w:val="single" w:color="auto" w:sz="4" w:space="0"/>
            </w:tcBorders>
            <w:shd w:val="clear" w:color="auto" w:fill="auto"/>
            <w:vAlign w:val="center"/>
          </w:tcPr>
          <w:p w14:paraId="110FD52C">
            <w:pPr>
              <w:widowControl/>
              <w:spacing w:line="240" w:lineRule="atLeast"/>
              <w:jc w:val="center"/>
              <w:rPr>
                <w:rFonts w:ascii="Times New Roman" w:hAnsi="Times New Roman" w:eastAsia="宋体" w:cs="Times New Roman"/>
                <w:szCs w:val="24"/>
              </w:rPr>
            </w:pPr>
            <w:r>
              <w:rPr>
                <w:rFonts w:hint="eastAsia" w:ascii="Arial" w:hAnsi="Arial" w:eastAsia="宋体" w:cs="Arial"/>
                <w:b w:val="0"/>
                <w:bCs w:val="0"/>
                <w:szCs w:val="21"/>
                <w:shd w:val="clear" w:color="auto" w:fill="FFFFFF"/>
              </w:rPr>
              <w:t>CSR服务器机房精密空调</w:t>
            </w:r>
          </w:p>
        </w:tc>
        <w:tc>
          <w:tcPr>
            <w:tcW w:w="5244" w:type="dxa"/>
            <w:tcBorders>
              <w:bottom w:val="single" w:color="auto" w:sz="4" w:space="0"/>
            </w:tcBorders>
            <w:shd w:val="clear" w:color="auto" w:fill="auto"/>
            <w:vAlign w:val="center"/>
          </w:tcPr>
          <w:p w14:paraId="2D450482">
            <w:pPr>
              <w:tabs>
                <w:tab w:val="left" w:pos="6915"/>
              </w:tabs>
              <w:jc w:val="left"/>
              <w:rPr>
                <w:rFonts w:ascii="宋体" w:hAnsi="宋体" w:cs="宋体"/>
                <w:bCs/>
                <w:szCs w:val="21"/>
              </w:rPr>
            </w:pPr>
            <w:r>
              <w:rPr>
                <w:rFonts w:hint="eastAsia" w:ascii="宋体" w:hAnsi="宋体" w:cs="宋体"/>
                <w:bCs/>
                <w:szCs w:val="21"/>
              </w:rPr>
              <w:t>一、精密空调</w:t>
            </w:r>
          </w:p>
          <w:p w14:paraId="4BCAA7F2">
            <w:pPr>
              <w:tabs>
                <w:tab w:val="left" w:pos="6915"/>
              </w:tabs>
              <w:jc w:val="left"/>
              <w:rPr>
                <w:rFonts w:ascii="宋体" w:hAnsi="宋体" w:cs="宋体"/>
                <w:bCs/>
                <w:szCs w:val="21"/>
              </w:rPr>
            </w:pPr>
            <w:r>
              <w:rPr>
                <w:rFonts w:hint="eastAsia" w:ascii="宋体" w:hAnsi="宋体" w:cs="宋体"/>
                <w:bCs/>
                <w:szCs w:val="21"/>
              </w:rPr>
              <w:t>数量：3台。</w:t>
            </w:r>
          </w:p>
          <w:p w14:paraId="446D66BB">
            <w:pPr>
              <w:tabs>
                <w:tab w:val="left" w:pos="6915"/>
              </w:tabs>
              <w:jc w:val="left"/>
              <w:rPr>
                <w:rFonts w:ascii="宋体" w:hAnsi="宋体" w:cs="宋体"/>
                <w:bCs/>
                <w:szCs w:val="21"/>
              </w:rPr>
            </w:pPr>
            <w:r>
              <w:rPr>
                <w:rFonts w:hint="eastAsia" w:ascii="宋体" w:hAnsi="宋体" w:cs="宋体"/>
                <w:bCs/>
                <w:szCs w:val="21"/>
              </w:rPr>
              <w:t>1）单台制冷量≥40.4kW，单台风量≥12000m³/h，单台最大运行电功率≤26.2kW，全年能效比（AEER）＞4.25；送风方式为上送风；不接受OEM或ODM产品；须提供精密空调选型手册及检测报告（CNAS及CMA认证，申请单位与生产单位为同一法人单位）。</w:t>
            </w:r>
          </w:p>
          <w:p w14:paraId="340AFFD5">
            <w:pPr>
              <w:tabs>
                <w:tab w:val="left" w:pos="6915"/>
              </w:tabs>
              <w:jc w:val="left"/>
              <w:rPr>
                <w:rFonts w:ascii="宋体" w:hAnsi="宋体" w:cs="宋体"/>
                <w:bCs/>
                <w:szCs w:val="21"/>
              </w:rPr>
            </w:pPr>
            <w:r>
              <w:rPr>
                <w:rFonts w:hint="eastAsia" w:ascii="宋体" w:hAnsi="宋体" w:cs="宋体"/>
                <w:bCs/>
                <w:szCs w:val="21"/>
              </w:rPr>
              <w:t>2）符合IEC标准，输入电压允许波动范围：380VAC（-10％～+15％），工作频率：50Hz±2Hz；泄漏电流的最大值应不大于1mA。</w:t>
            </w:r>
          </w:p>
          <w:p w14:paraId="25055770">
            <w:pPr>
              <w:tabs>
                <w:tab w:val="left" w:pos="6915"/>
              </w:tabs>
              <w:jc w:val="left"/>
              <w:rPr>
                <w:rFonts w:ascii="宋体" w:hAnsi="宋体" w:cs="宋体"/>
                <w:bCs/>
                <w:szCs w:val="21"/>
              </w:rPr>
            </w:pPr>
            <w:r>
              <w:rPr>
                <w:rFonts w:hint="eastAsia" w:ascii="宋体" w:hAnsi="宋体" w:cs="宋体"/>
                <w:bCs/>
                <w:szCs w:val="21"/>
              </w:rPr>
              <w:t>3）适用环境条件：室内：0℃～40℃，室外：-15℃～+45℃，环境湿度：≤95%RH。</w:t>
            </w:r>
          </w:p>
          <w:p w14:paraId="58F81AFC">
            <w:pPr>
              <w:tabs>
                <w:tab w:val="left" w:pos="6915"/>
              </w:tabs>
              <w:jc w:val="left"/>
              <w:rPr>
                <w:rFonts w:ascii="宋体" w:hAnsi="宋体" w:cs="宋体"/>
                <w:bCs/>
                <w:szCs w:val="21"/>
              </w:rPr>
            </w:pPr>
            <w:r>
              <w:rPr>
                <w:rFonts w:hint="eastAsia" w:ascii="宋体" w:hAnsi="宋体" w:cs="宋体"/>
                <w:bCs/>
                <w:szCs w:val="21"/>
              </w:rPr>
              <w:t>4）精密空调具有高可靠性，平均无故障时间MTBF≥10万小时；须提供精密空调品牌厂家盖章的说明书。</w:t>
            </w:r>
          </w:p>
          <w:p w14:paraId="41301156">
            <w:pPr>
              <w:tabs>
                <w:tab w:val="left" w:pos="6915"/>
              </w:tabs>
              <w:jc w:val="left"/>
              <w:rPr>
                <w:rFonts w:ascii="宋体" w:hAnsi="宋体" w:cs="宋体"/>
                <w:bCs/>
                <w:szCs w:val="21"/>
              </w:rPr>
            </w:pPr>
            <w:r>
              <w:rPr>
                <w:rFonts w:hint="eastAsia" w:ascii="宋体" w:hAnsi="宋体" w:cs="宋体"/>
                <w:bCs/>
                <w:szCs w:val="21"/>
              </w:rPr>
              <w:t>5）精密空调应采用独立的EC风机；须提供精密空调品牌厂家盖章的说明书。</w:t>
            </w:r>
          </w:p>
          <w:p w14:paraId="6C15D746">
            <w:pPr>
              <w:tabs>
                <w:tab w:val="left" w:pos="6915"/>
              </w:tabs>
              <w:jc w:val="left"/>
              <w:rPr>
                <w:rFonts w:ascii="宋体" w:hAnsi="宋体" w:cs="宋体"/>
                <w:bCs/>
                <w:szCs w:val="21"/>
              </w:rPr>
            </w:pPr>
            <w:r>
              <w:rPr>
                <w:rFonts w:hint="eastAsia" w:ascii="宋体" w:hAnsi="宋体" w:cs="宋体"/>
                <w:bCs/>
                <w:szCs w:val="21"/>
              </w:rPr>
              <w:t>6）具备除湿功能，减少空气过冷及热补偿需求；应采用高效加湿器，加湿量≥4.5kg/h。</w:t>
            </w:r>
          </w:p>
          <w:p w14:paraId="262C69D6">
            <w:pPr>
              <w:tabs>
                <w:tab w:val="left" w:pos="6915"/>
              </w:tabs>
              <w:jc w:val="left"/>
              <w:rPr>
                <w:rFonts w:ascii="宋体" w:hAnsi="宋体" w:cs="宋体"/>
                <w:bCs/>
                <w:szCs w:val="21"/>
              </w:rPr>
            </w:pPr>
            <w:r>
              <w:rPr>
                <w:rFonts w:hint="eastAsia" w:ascii="宋体" w:hAnsi="宋体" w:cs="宋体"/>
                <w:bCs/>
                <w:szCs w:val="21"/>
              </w:rPr>
              <w:t>7）精密空调应具有先进的微处理控制器，采用PID调节技术；具有LCD大屏幕多行中文显示器，显示温湿度曲线和各组件的运行状态；并可设定以下功能：a）根据机房内热负荷变化自动控制空调机组的运行数量及容量，实现主、备空调机机组之间的自动切换，各台空调机组应可定时轮换作为备份机组，保证整个系统的可靠性；</w:t>
            </w:r>
            <w:r>
              <w:rPr>
                <w:rFonts w:ascii="宋体" w:hAnsi="宋体" w:cs="宋体"/>
                <w:bCs/>
                <w:szCs w:val="21"/>
              </w:rPr>
              <w:t>b</w:t>
            </w:r>
            <w:r>
              <w:rPr>
                <w:rFonts w:hint="eastAsia" w:ascii="宋体" w:hAnsi="宋体" w:cs="宋体"/>
                <w:bCs/>
                <w:szCs w:val="21"/>
              </w:rPr>
              <w:t>）电源故障告警，空调机组供电在缺相、错相、电压过欠压情况下，应能自动保护或停机，在电源恢复正常后可自动恢复原设定模式运行。</w:t>
            </w:r>
          </w:p>
          <w:p w14:paraId="10E4ED71">
            <w:pPr>
              <w:tabs>
                <w:tab w:val="left" w:pos="6915"/>
              </w:tabs>
              <w:jc w:val="left"/>
              <w:rPr>
                <w:rFonts w:ascii="宋体" w:hAnsi="宋体" w:cs="宋体"/>
                <w:bCs/>
                <w:szCs w:val="21"/>
              </w:rPr>
            </w:pPr>
            <w:r>
              <w:rPr>
                <w:rFonts w:ascii="宋体" w:hAnsi="宋体" w:cs="宋体"/>
                <w:bCs/>
                <w:szCs w:val="21"/>
              </w:rPr>
              <w:t>8</w:t>
            </w:r>
            <w:r>
              <w:rPr>
                <w:rFonts w:hint="eastAsia" w:ascii="宋体" w:hAnsi="宋体" w:cs="宋体"/>
                <w:bCs/>
                <w:szCs w:val="21"/>
              </w:rPr>
              <w:t>）室内外机防雷应符合《通信局（站）防雷与接地工程设计规范》（</w:t>
            </w:r>
            <w:r>
              <w:rPr>
                <w:rFonts w:ascii="宋体" w:hAnsi="宋体" w:cs="宋体"/>
                <w:bCs/>
                <w:szCs w:val="21"/>
              </w:rPr>
              <w:t>GB 50689-2011</w:t>
            </w:r>
            <w:r>
              <w:rPr>
                <w:rFonts w:hint="eastAsia" w:ascii="宋体" w:hAnsi="宋体" w:cs="宋体"/>
                <w:bCs/>
                <w:szCs w:val="21"/>
              </w:rPr>
              <w:t>）中C级的要求，应配置C级防浪涌器件。</w:t>
            </w:r>
          </w:p>
          <w:p w14:paraId="4F438DCB">
            <w:pPr>
              <w:tabs>
                <w:tab w:val="left" w:pos="6915"/>
              </w:tabs>
              <w:jc w:val="left"/>
              <w:rPr>
                <w:rFonts w:ascii="宋体" w:hAnsi="宋体" w:cs="宋体"/>
                <w:bCs/>
                <w:szCs w:val="21"/>
              </w:rPr>
            </w:pPr>
            <w:r>
              <w:rPr>
                <w:rFonts w:hint="eastAsia" w:ascii="宋体" w:hAnsi="宋体" w:cs="宋体"/>
                <w:bCs/>
                <w:szCs w:val="21"/>
              </w:rPr>
              <w:t>9）当设定回风温度在18℃～32℃范围时，温度控制精度为±1℃；当设定湿度≤60%RH时，湿度控制精度应在±5%RH～±10%RH之间可调。精密空调须采用高精度温湿度传感器，传感器品牌应与精密空调品牌一致；传感器精度要求：温度≤±0.2℃，湿度≤±2%RH。针对上述传感器精度，须提供CNAS及CMA认证的检测报告，且检测报告的申请单位与生产单位为同一法人单位。</w:t>
            </w:r>
          </w:p>
          <w:p w14:paraId="56E44F37">
            <w:pPr>
              <w:tabs>
                <w:tab w:val="left" w:pos="6915"/>
              </w:tabs>
              <w:jc w:val="left"/>
              <w:rPr>
                <w:rFonts w:ascii="宋体" w:hAnsi="宋体" w:cs="宋体"/>
                <w:bCs/>
                <w:szCs w:val="21"/>
              </w:rPr>
            </w:pPr>
            <w:r>
              <w:rPr>
                <w:rFonts w:hint="eastAsia" w:ascii="宋体" w:hAnsi="宋体" w:cs="宋体"/>
                <w:bCs/>
                <w:szCs w:val="21"/>
              </w:rPr>
              <w:t>1</w:t>
            </w:r>
            <w:r>
              <w:rPr>
                <w:rFonts w:ascii="宋体" w:hAnsi="宋体" w:cs="宋体"/>
                <w:bCs/>
                <w:szCs w:val="21"/>
              </w:rPr>
              <w:t>0</w:t>
            </w:r>
            <w:r>
              <w:rPr>
                <w:rFonts w:hint="eastAsia" w:ascii="宋体" w:hAnsi="宋体" w:cs="宋体"/>
                <w:bCs/>
                <w:szCs w:val="21"/>
              </w:rPr>
              <w:t>）C</w:t>
            </w:r>
            <w:r>
              <w:rPr>
                <w:rFonts w:ascii="宋体" w:hAnsi="宋体" w:cs="宋体"/>
                <w:bCs/>
                <w:szCs w:val="21"/>
              </w:rPr>
              <w:t>SR</w:t>
            </w:r>
            <w:r>
              <w:rPr>
                <w:rFonts w:hint="eastAsia" w:ascii="宋体" w:hAnsi="宋体" w:cs="宋体"/>
                <w:bCs/>
                <w:szCs w:val="21"/>
              </w:rPr>
              <w:t>服务器机房内设置高精度温湿度传感器，用于实时监测服务器等工艺设备的工作面温湿度。</w:t>
            </w:r>
          </w:p>
          <w:p w14:paraId="4B5DC04D">
            <w:pPr>
              <w:tabs>
                <w:tab w:val="left" w:pos="6915"/>
              </w:tabs>
              <w:jc w:val="left"/>
              <w:rPr>
                <w:rFonts w:ascii="宋体" w:hAnsi="宋体" w:cs="宋体"/>
                <w:bCs/>
                <w:szCs w:val="21"/>
              </w:rPr>
            </w:pPr>
            <w:r>
              <w:rPr>
                <w:rFonts w:ascii="宋体" w:hAnsi="宋体" w:cs="宋体"/>
                <w:bCs/>
                <w:szCs w:val="21"/>
              </w:rPr>
              <w:t>11</w:t>
            </w:r>
            <w:r>
              <w:rPr>
                <w:rFonts w:hint="eastAsia" w:ascii="宋体" w:hAnsi="宋体" w:cs="宋体"/>
                <w:bCs/>
                <w:szCs w:val="21"/>
              </w:rPr>
              <w:t>）精密空调自带的控制系统须预留弱电智能化接口，接至能源中心公共设施控制机房，温湿度等关键参数接入合肥先进光源EPICS架构数据库平台。</w:t>
            </w:r>
          </w:p>
          <w:p w14:paraId="7BD85ED0">
            <w:pPr>
              <w:tabs>
                <w:tab w:val="left" w:pos="6915"/>
              </w:tabs>
              <w:jc w:val="left"/>
              <w:rPr>
                <w:rFonts w:ascii="宋体" w:hAnsi="宋体" w:cs="宋体"/>
                <w:bCs/>
                <w:szCs w:val="21"/>
              </w:rPr>
            </w:pPr>
            <w:r>
              <w:rPr>
                <w:rFonts w:hint="eastAsia" w:ascii="宋体" w:hAnsi="宋体" w:cs="宋体"/>
                <w:bCs/>
                <w:szCs w:val="21"/>
              </w:rPr>
              <w:t>二、铜管及制冷剂</w:t>
            </w:r>
          </w:p>
          <w:p w14:paraId="36BA4BB2">
            <w:pPr>
              <w:tabs>
                <w:tab w:val="left" w:pos="6915"/>
              </w:tabs>
              <w:jc w:val="left"/>
              <w:rPr>
                <w:rFonts w:ascii="宋体" w:hAnsi="宋体" w:cs="宋体"/>
                <w:bCs/>
                <w:szCs w:val="21"/>
              </w:rPr>
            </w:pPr>
            <w:r>
              <w:rPr>
                <w:rFonts w:hint="eastAsia" w:ascii="宋体" w:hAnsi="宋体" w:cs="宋体"/>
                <w:bCs/>
                <w:szCs w:val="21"/>
              </w:rPr>
              <w:t>1）Φ19/22铜管，长度约300m（根据精密空调选型及实际安装条件调整）；</w:t>
            </w:r>
          </w:p>
          <w:p w14:paraId="23F6C881">
            <w:pPr>
              <w:tabs>
                <w:tab w:val="left" w:pos="6915"/>
              </w:tabs>
              <w:jc w:val="left"/>
              <w:rPr>
                <w:rFonts w:ascii="宋体" w:hAnsi="宋体" w:cs="宋体"/>
                <w:bCs/>
                <w:szCs w:val="21"/>
              </w:rPr>
            </w:pPr>
            <w:r>
              <w:rPr>
                <w:rFonts w:hint="eastAsia" w:ascii="宋体" w:hAnsi="宋体" w:cs="宋体"/>
                <w:bCs/>
                <w:szCs w:val="21"/>
              </w:rPr>
              <w:t>2）R410</w:t>
            </w:r>
            <w:r>
              <w:rPr>
                <w:rFonts w:ascii="宋体" w:hAnsi="宋体" w:cs="宋体"/>
                <w:bCs/>
                <w:szCs w:val="21"/>
              </w:rPr>
              <w:t>a</w:t>
            </w:r>
            <w:r>
              <w:rPr>
                <w:rFonts w:hint="eastAsia" w:ascii="宋体" w:hAnsi="宋体" w:cs="宋体"/>
                <w:bCs/>
                <w:szCs w:val="21"/>
              </w:rPr>
              <w:t>制冷剂。</w:t>
            </w:r>
          </w:p>
          <w:p w14:paraId="4D76B25D">
            <w:pPr>
              <w:tabs>
                <w:tab w:val="left" w:pos="6915"/>
              </w:tabs>
              <w:jc w:val="left"/>
              <w:rPr>
                <w:rFonts w:ascii="宋体" w:hAnsi="宋体" w:cs="宋体"/>
                <w:bCs/>
                <w:szCs w:val="21"/>
              </w:rPr>
            </w:pPr>
            <w:r>
              <w:rPr>
                <w:rFonts w:hint="eastAsia" w:ascii="宋体" w:hAnsi="宋体" w:cs="宋体"/>
                <w:bCs/>
                <w:szCs w:val="21"/>
              </w:rPr>
              <w:t>三、外机设备基础</w:t>
            </w:r>
          </w:p>
          <w:p w14:paraId="5DA567C9">
            <w:pPr>
              <w:tabs>
                <w:tab w:val="left" w:pos="6915"/>
              </w:tabs>
              <w:jc w:val="left"/>
              <w:rPr>
                <w:rFonts w:ascii="宋体" w:hAnsi="宋体" w:cs="宋体"/>
                <w:bCs/>
                <w:szCs w:val="21"/>
              </w:rPr>
            </w:pPr>
            <w:r>
              <w:rPr>
                <w:rFonts w:hint="eastAsia" w:ascii="宋体" w:hAnsi="宋体" w:cs="宋体"/>
                <w:bCs/>
                <w:szCs w:val="21"/>
              </w:rPr>
              <w:t>钢筋混凝土基础，面积约7㎡（根据精密空调选型及实际安装条件调整）。</w:t>
            </w:r>
          </w:p>
          <w:p w14:paraId="2D8B673B">
            <w:pPr>
              <w:tabs>
                <w:tab w:val="left" w:pos="6915"/>
              </w:tabs>
              <w:jc w:val="left"/>
              <w:rPr>
                <w:rFonts w:ascii="宋体" w:hAnsi="宋体" w:cs="宋体"/>
                <w:bCs/>
                <w:szCs w:val="21"/>
              </w:rPr>
            </w:pPr>
            <w:r>
              <w:rPr>
                <w:rFonts w:hint="eastAsia" w:ascii="宋体" w:hAnsi="宋体" w:cs="宋体"/>
                <w:bCs/>
                <w:szCs w:val="21"/>
              </w:rPr>
              <w:t>四、电缆</w:t>
            </w:r>
          </w:p>
          <w:p w14:paraId="58041AC6">
            <w:pPr>
              <w:tabs>
                <w:tab w:val="left" w:pos="6915"/>
              </w:tabs>
              <w:jc w:val="left"/>
              <w:rPr>
                <w:rFonts w:ascii="宋体" w:hAnsi="宋体" w:cs="宋体"/>
                <w:bCs/>
                <w:szCs w:val="21"/>
              </w:rPr>
            </w:pPr>
            <w:r>
              <w:rPr>
                <w:rFonts w:hint="eastAsia" w:ascii="宋体" w:hAnsi="宋体" w:cs="宋体"/>
                <w:bCs/>
                <w:szCs w:val="21"/>
              </w:rPr>
              <w:t>YJV-4×16</w:t>
            </w:r>
            <w:r>
              <w:rPr>
                <w:rFonts w:ascii="宋体" w:hAnsi="宋体" w:cs="宋体"/>
                <w:bCs/>
                <w:szCs w:val="21"/>
              </w:rPr>
              <w:t>mm</w:t>
            </w:r>
            <w:r>
              <w:rPr>
                <w:rFonts w:ascii="宋体" w:hAnsi="宋体" w:cs="宋体"/>
                <w:bCs/>
                <w:szCs w:val="21"/>
                <w:vertAlign w:val="superscript"/>
              </w:rPr>
              <w:t>2</w:t>
            </w:r>
            <w:r>
              <w:rPr>
                <w:rFonts w:hint="eastAsia" w:ascii="宋体" w:hAnsi="宋体" w:cs="宋体"/>
                <w:bCs/>
                <w:szCs w:val="21"/>
              </w:rPr>
              <w:t>+1×10mm</w:t>
            </w:r>
            <w:r>
              <w:rPr>
                <w:rFonts w:hint="eastAsia" w:ascii="宋体" w:hAnsi="宋体" w:cs="宋体"/>
                <w:bCs/>
                <w:szCs w:val="21"/>
                <w:vertAlign w:val="superscript"/>
              </w:rPr>
              <w:t>2</w:t>
            </w:r>
            <w:r>
              <w:rPr>
                <w:rFonts w:hint="eastAsia" w:ascii="宋体" w:hAnsi="宋体" w:cs="宋体"/>
                <w:bCs/>
                <w:szCs w:val="21"/>
              </w:rPr>
              <w:t>，长度约400m（根据精密空调选型及实际安装条件调整）。</w:t>
            </w:r>
          </w:p>
          <w:p w14:paraId="3083FDB0">
            <w:pPr>
              <w:tabs>
                <w:tab w:val="left" w:pos="6915"/>
              </w:tabs>
              <w:jc w:val="left"/>
              <w:rPr>
                <w:rFonts w:ascii="宋体" w:hAnsi="宋体" w:cs="宋体"/>
                <w:bCs/>
                <w:szCs w:val="21"/>
              </w:rPr>
            </w:pPr>
            <w:r>
              <w:rPr>
                <w:rFonts w:hint="eastAsia" w:ascii="宋体" w:hAnsi="宋体" w:cs="宋体"/>
                <w:bCs/>
                <w:szCs w:val="21"/>
              </w:rPr>
              <w:t>五、减振措施</w:t>
            </w:r>
          </w:p>
          <w:p w14:paraId="2506E9A4">
            <w:pPr>
              <w:tabs>
                <w:tab w:val="left" w:pos="6915"/>
              </w:tabs>
              <w:jc w:val="left"/>
              <w:rPr>
                <w:rFonts w:ascii="宋体" w:hAnsi="宋体" w:cs="宋体"/>
                <w:bCs/>
                <w:szCs w:val="21"/>
              </w:rPr>
            </w:pPr>
            <w:r>
              <w:rPr>
                <w:rFonts w:hint="eastAsia" w:ascii="宋体" w:hAnsi="宋体" w:cs="宋体"/>
                <w:bCs/>
                <w:szCs w:val="21"/>
              </w:rPr>
              <w:t>精密空调设备及管线均须采取必要的减振隔振措施，精密空调运行时</w:t>
            </w:r>
            <w:r>
              <w:rPr>
                <w:rStyle w:val="12"/>
              </w:rPr>
              <w:t>综合减振效</w:t>
            </w:r>
            <w:r>
              <w:rPr>
                <w:rStyle w:val="12"/>
                <w:rFonts w:hint="eastAsia" w:ascii="宋体" w:hAnsi="宋体"/>
              </w:rPr>
              <w:t>率≥95%</w:t>
            </w:r>
            <w:r>
              <w:rPr>
                <w:rFonts w:hint="eastAsia" w:ascii="宋体" w:hAnsi="宋体" w:cs="宋体"/>
                <w:bCs/>
                <w:szCs w:val="21"/>
              </w:rPr>
              <w:t>，设备及管线的减振方案须由甲方审核确认后方可实施。</w:t>
            </w:r>
          </w:p>
          <w:p w14:paraId="181434EA">
            <w:pPr>
              <w:tabs>
                <w:tab w:val="left" w:pos="6915"/>
              </w:tabs>
              <w:jc w:val="left"/>
              <w:rPr>
                <w:rFonts w:ascii="宋体" w:hAnsi="宋体" w:cs="宋体"/>
                <w:bCs/>
                <w:szCs w:val="21"/>
              </w:rPr>
            </w:pPr>
            <w:r>
              <w:rPr>
                <w:rFonts w:hint="eastAsia" w:ascii="宋体" w:hAnsi="宋体" w:cs="宋体"/>
                <w:bCs/>
                <w:szCs w:val="21"/>
              </w:rPr>
              <w:t>六、安装及调试</w:t>
            </w:r>
          </w:p>
          <w:p w14:paraId="4BAD4120">
            <w:pPr>
              <w:tabs>
                <w:tab w:val="left" w:pos="6915"/>
              </w:tabs>
              <w:jc w:val="left"/>
              <w:rPr>
                <w:rFonts w:ascii="宋体" w:hAnsi="宋体" w:cs="宋体"/>
                <w:bCs/>
                <w:szCs w:val="21"/>
              </w:rPr>
            </w:pPr>
            <w:r>
              <w:rPr>
                <w:rFonts w:hint="eastAsia" w:ascii="宋体" w:hAnsi="宋体" w:cs="宋体"/>
                <w:bCs/>
                <w:szCs w:val="21"/>
              </w:rPr>
              <w:t>1）包含搬运、设备就位、支架焊接制作、桥架安装、地沟电缆铺设、调试运行等；</w:t>
            </w:r>
          </w:p>
          <w:p w14:paraId="7BB24030">
            <w:pPr>
              <w:tabs>
                <w:tab w:val="left" w:pos="6915"/>
              </w:tabs>
              <w:jc w:val="left"/>
              <w:rPr>
                <w:rFonts w:ascii="Arial" w:hAnsi="Arial" w:eastAsia="宋体" w:cs="Arial"/>
                <w:szCs w:val="21"/>
                <w:shd w:val="clear" w:color="auto" w:fill="FFFFFF"/>
              </w:rPr>
            </w:pPr>
            <w:r>
              <w:rPr>
                <w:rFonts w:ascii="宋体" w:hAnsi="宋体" w:cs="宋体"/>
                <w:bCs/>
                <w:szCs w:val="21"/>
              </w:rPr>
              <w:t>2</w:t>
            </w:r>
            <w:r>
              <w:rPr>
                <w:rFonts w:hint="eastAsia" w:ascii="宋体" w:hAnsi="宋体" w:cs="宋体"/>
                <w:bCs/>
                <w:szCs w:val="21"/>
              </w:rPr>
              <w:t>）因精密空调安装产生的墙体开洞、给水接入、地漏及排水、地沟盖板拆除及恢复、土方开挖及回填等其它必要的土建水电气改造也包含在本项目的范围内，供应商须综合考虑报价。</w:t>
            </w:r>
          </w:p>
        </w:tc>
        <w:tc>
          <w:tcPr>
            <w:tcW w:w="1418" w:type="dxa"/>
            <w:vAlign w:val="center"/>
          </w:tcPr>
          <w:p w14:paraId="205FF5AB">
            <w:pPr>
              <w:spacing w:line="240" w:lineRule="atLeast"/>
              <w:jc w:val="center"/>
            </w:pPr>
          </w:p>
        </w:tc>
        <w:tc>
          <w:tcPr>
            <w:tcW w:w="992" w:type="dxa"/>
            <w:vAlign w:val="center"/>
          </w:tcPr>
          <w:p w14:paraId="1C60665B">
            <w:pPr>
              <w:spacing w:line="240" w:lineRule="atLeast"/>
              <w:jc w:val="center"/>
            </w:pPr>
          </w:p>
        </w:tc>
      </w:tr>
      <w:tr w14:paraId="497EA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trPr>
        <w:tc>
          <w:tcPr>
            <w:tcW w:w="705" w:type="dxa"/>
            <w:vAlign w:val="center"/>
          </w:tcPr>
          <w:p w14:paraId="21D5CC9B">
            <w:pPr>
              <w:spacing w:line="240" w:lineRule="atLeast"/>
              <w:jc w:val="center"/>
            </w:pPr>
            <w:r>
              <w:t>2</w:t>
            </w:r>
          </w:p>
        </w:tc>
        <w:tc>
          <w:tcPr>
            <w:tcW w:w="1422" w:type="dxa"/>
            <w:tcBorders>
              <w:top w:val="single" w:color="auto" w:sz="4" w:space="0"/>
              <w:left w:val="single" w:color="auto" w:sz="4" w:space="0"/>
              <w:bottom w:val="single" w:color="auto" w:sz="4" w:space="0"/>
              <w:right w:val="single" w:color="auto" w:sz="4" w:space="0"/>
            </w:tcBorders>
            <w:shd w:val="clear" w:color="auto" w:fill="auto"/>
            <w:vAlign w:val="center"/>
          </w:tcPr>
          <w:p w14:paraId="2217188C">
            <w:pPr>
              <w:widowControl/>
              <w:spacing w:line="240" w:lineRule="atLeast"/>
              <w:jc w:val="center"/>
            </w:pPr>
            <w:r>
              <w:rPr>
                <w:rFonts w:hint="eastAsia"/>
              </w:rPr>
              <w:t>商务条款</w:t>
            </w:r>
          </w:p>
        </w:tc>
        <w:tc>
          <w:tcPr>
            <w:tcW w:w="5244" w:type="dxa"/>
            <w:tcBorders>
              <w:top w:val="single" w:color="auto" w:sz="4" w:space="0"/>
              <w:left w:val="nil"/>
              <w:bottom w:val="single" w:color="auto" w:sz="4" w:space="0"/>
              <w:right w:val="single" w:color="auto" w:sz="4" w:space="0"/>
            </w:tcBorders>
            <w:shd w:val="clear" w:color="auto" w:fill="auto"/>
            <w:vAlign w:val="center"/>
          </w:tcPr>
          <w:p w14:paraId="62826E3E">
            <w:pPr>
              <w:tabs>
                <w:tab w:val="left" w:pos="6915"/>
              </w:tabs>
              <w:jc w:val="left"/>
              <w:rPr>
                <w:rFonts w:ascii="宋体" w:hAnsi="宋体" w:cs="宋体"/>
                <w:bCs/>
                <w:szCs w:val="21"/>
              </w:rPr>
            </w:pPr>
            <w:r>
              <w:rPr>
                <w:rFonts w:ascii="宋体" w:hAnsi="宋体"/>
                <w:b/>
                <w:szCs w:val="21"/>
              </w:rPr>
              <w:t>交货期</w:t>
            </w:r>
            <w:r>
              <w:rPr>
                <w:rFonts w:hint="eastAsia" w:ascii="宋体" w:hAnsi="宋体"/>
                <w:b/>
                <w:szCs w:val="21"/>
              </w:rPr>
              <w:t>：</w:t>
            </w:r>
            <w:r>
              <w:rPr>
                <w:rFonts w:hint="eastAsia" w:ascii="宋体" w:hAnsi="宋体" w:cs="宋体"/>
                <w:bCs/>
                <w:szCs w:val="21"/>
              </w:rPr>
              <w:t>合同签订后30个日历日内。</w:t>
            </w:r>
          </w:p>
          <w:p w14:paraId="379C6791">
            <w:pPr>
              <w:tabs>
                <w:tab w:val="left" w:pos="6915"/>
              </w:tabs>
              <w:jc w:val="left"/>
              <w:rPr>
                <w:rFonts w:ascii="宋体" w:hAnsi="宋体" w:cs="宋体"/>
                <w:bCs/>
                <w:szCs w:val="21"/>
              </w:rPr>
            </w:pPr>
            <w:r>
              <w:rPr>
                <w:rFonts w:ascii="宋体" w:hAnsi="宋体"/>
                <w:b/>
                <w:szCs w:val="21"/>
              </w:rPr>
              <w:t>交付进度</w:t>
            </w:r>
            <w:r>
              <w:rPr>
                <w:rFonts w:hint="eastAsia" w:ascii="宋体" w:hAnsi="宋体"/>
                <w:b/>
                <w:szCs w:val="21"/>
              </w:rPr>
              <w:t>：</w:t>
            </w:r>
            <w:r>
              <w:rPr>
                <w:rFonts w:hint="eastAsia" w:ascii="宋体" w:hAnsi="宋体" w:cs="宋体"/>
                <w:bCs/>
                <w:szCs w:val="21"/>
              </w:rPr>
              <w:t>一次性到货，将货物送至甲方指定地点：安徽省合肥市长丰县岗集镇未来大科学城合肥先进光源园区。</w:t>
            </w:r>
          </w:p>
          <w:p w14:paraId="161F788E">
            <w:pPr>
              <w:tabs>
                <w:tab w:val="left" w:pos="6915"/>
              </w:tabs>
              <w:jc w:val="left"/>
              <w:rPr>
                <w:rFonts w:ascii="宋体" w:hAnsi="宋体" w:cs="宋体"/>
                <w:bCs/>
                <w:szCs w:val="21"/>
              </w:rPr>
            </w:pPr>
            <w:r>
              <w:rPr>
                <w:rFonts w:ascii="宋体" w:hAnsi="宋体"/>
                <w:b/>
                <w:szCs w:val="21"/>
              </w:rPr>
              <w:t>付款方式</w:t>
            </w:r>
            <w:r>
              <w:rPr>
                <w:rFonts w:hint="eastAsia" w:ascii="宋体" w:hAnsi="宋体"/>
                <w:b/>
                <w:szCs w:val="21"/>
              </w:rPr>
              <w:t>：</w:t>
            </w:r>
            <w:r>
              <w:rPr>
                <w:rFonts w:hint="eastAsia" w:ascii="宋体" w:hAnsi="宋体" w:cs="宋体"/>
                <w:bCs/>
                <w:szCs w:val="21"/>
              </w:rPr>
              <w:t>合同签订后</w:t>
            </w:r>
            <w:r>
              <w:rPr>
                <w:rFonts w:ascii="宋体" w:hAnsi="宋体" w:cs="宋体"/>
                <w:bCs/>
                <w:szCs w:val="21"/>
              </w:rPr>
              <w:t>15</w:t>
            </w:r>
            <w:r>
              <w:rPr>
                <w:rFonts w:hint="eastAsia" w:ascii="宋体" w:hAnsi="宋体" w:cs="宋体"/>
                <w:bCs/>
                <w:szCs w:val="21"/>
              </w:rPr>
              <w:t>个工作日内预付合同总金额的30%，验收合格后3</w:t>
            </w:r>
            <w:r>
              <w:rPr>
                <w:rFonts w:ascii="宋体" w:hAnsi="宋体" w:cs="宋体"/>
                <w:bCs/>
                <w:szCs w:val="21"/>
              </w:rPr>
              <w:t>0</w:t>
            </w:r>
            <w:r>
              <w:rPr>
                <w:rFonts w:hint="eastAsia" w:ascii="宋体" w:hAnsi="宋体" w:cs="宋体"/>
                <w:bCs/>
                <w:szCs w:val="21"/>
              </w:rPr>
              <w:t>个工作日内付清尾款。</w:t>
            </w:r>
          </w:p>
          <w:p w14:paraId="50609E60">
            <w:pPr>
              <w:tabs>
                <w:tab w:val="left" w:pos="6915"/>
              </w:tabs>
              <w:jc w:val="left"/>
              <w:rPr>
                <w:rFonts w:ascii="宋体" w:hAnsi="宋体"/>
                <w:b/>
                <w:szCs w:val="21"/>
              </w:rPr>
            </w:pPr>
            <w:r>
              <w:rPr>
                <w:rFonts w:hint="eastAsia" w:ascii="宋体" w:hAnsi="宋体"/>
                <w:b/>
                <w:szCs w:val="21"/>
              </w:rPr>
              <w:t>验收指标及验收要求：</w:t>
            </w:r>
          </w:p>
          <w:p w14:paraId="216CB821">
            <w:pPr>
              <w:tabs>
                <w:tab w:val="left" w:pos="6915"/>
              </w:tabs>
              <w:jc w:val="left"/>
              <w:rPr>
                <w:rFonts w:ascii="宋体" w:hAnsi="宋体" w:cs="宋体"/>
                <w:bCs/>
                <w:szCs w:val="21"/>
              </w:rPr>
            </w:pPr>
            <w:r>
              <w:rPr>
                <w:rFonts w:hint="eastAsia" w:ascii="宋体" w:hAnsi="宋体" w:cs="宋体"/>
                <w:bCs/>
                <w:szCs w:val="21"/>
              </w:rPr>
              <w:t>1）设备及材料开箱验收确认，精密空调机组须提供合格证、C</w:t>
            </w:r>
            <w:r>
              <w:rPr>
                <w:rFonts w:ascii="宋体" w:hAnsi="宋体" w:cs="宋体"/>
                <w:bCs/>
                <w:szCs w:val="21"/>
              </w:rPr>
              <w:t>NAS</w:t>
            </w:r>
            <w:r>
              <w:rPr>
                <w:rFonts w:hint="eastAsia" w:ascii="宋体" w:hAnsi="宋体" w:cs="宋体"/>
                <w:bCs/>
                <w:szCs w:val="21"/>
              </w:rPr>
              <w:t>及C</w:t>
            </w:r>
            <w:r>
              <w:rPr>
                <w:rFonts w:ascii="宋体" w:hAnsi="宋体" w:cs="宋体"/>
                <w:bCs/>
                <w:szCs w:val="21"/>
              </w:rPr>
              <w:t>MA</w:t>
            </w:r>
            <w:r>
              <w:rPr>
                <w:rFonts w:hint="eastAsia" w:ascii="宋体" w:hAnsi="宋体" w:cs="宋体"/>
                <w:bCs/>
                <w:szCs w:val="21"/>
              </w:rPr>
              <w:t>认证的检测报告，电缆、铜管、制冷剂、减振器应提供国标要求的合格证、检测报告；</w:t>
            </w:r>
          </w:p>
          <w:p w14:paraId="3364DAC1">
            <w:pPr>
              <w:tabs>
                <w:tab w:val="left" w:pos="6915"/>
              </w:tabs>
              <w:jc w:val="left"/>
              <w:rPr>
                <w:rFonts w:ascii="宋体" w:hAnsi="宋体" w:cs="宋体"/>
                <w:bCs/>
                <w:szCs w:val="21"/>
              </w:rPr>
            </w:pPr>
            <w:r>
              <w:rPr>
                <w:rFonts w:ascii="宋体" w:hAnsi="宋体" w:cs="宋体"/>
                <w:bCs/>
                <w:szCs w:val="21"/>
              </w:rPr>
              <w:t>2</w:t>
            </w:r>
            <w:r>
              <w:rPr>
                <w:rFonts w:hint="eastAsia" w:ascii="宋体" w:hAnsi="宋体" w:cs="宋体"/>
                <w:bCs/>
                <w:szCs w:val="21"/>
              </w:rPr>
              <w:t>）</w:t>
            </w:r>
            <w:r>
              <w:rPr>
                <w:rFonts w:ascii="宋体" w:hAnsi="宋体" w:cs="宋体"/>
                <w:bCs/>
                <w:szCs w:val="21"/>
              </w:rPr>
              <w:t>CSR</w:t>
            </w:r>
            <w:r>
              <w:rPr>
                <w:rFonts w:hint="eastAsia" w:ascii="宋体" w:hAnsi="宋体" w:cs="宋体"/>
                <w:bCs/>
                <w:szCs w:val="21"/>
              </w:rPr>
              <w:t>服务器机房温湿度指标：温度：</w:t>
            </w:r>
            <w:r>
              <w:rPr>
                <w:rFonts w:ascii="宋体" w:hAnsi="宋体" w:cs="宋体"/>
                <w:bCs/>
                <w:szCs w:val="21"/>
              </w:rPr>
              <w:t>18</w:t>
            </w:r>
            <w:r>
              <w:rPr>
                <w:rFonts w:hint="eastAsia" w:ascii="宋体" w:hAnsi="宋体" w:cs="宋体"/>
                <w:bCs/>
                <w:szCs w:val="21"/>
              </w:rPr>
              <w:t>℃～</w:t>
            </w:r>
            <w:r>
              <w:rPr>
                <w:rFonts w:ascii="宋体" w:hAnsi="宋体" w:cs="宋体"/>
                <w:bCs/>
                <w:szCs w:val="21"/>
              </w:rPr>
              <w:t>27</w:t>
            </w:r>
            <w:r>
              <w:rPr>
                <w:rFonts w:hint="eastAsia" w:ascii="宋体" w:hAnsi="宋体" w:cs="宋体"/>
                <w:bCs/>
                <w:szCs w:val="21"/>
              </w:rPr>
              <w:t>℃，±1℃，湿度≤</w:t>
            </w:r>
            <w:r>
              <w:rPr>
                <w:rFonts w:ascii="宋体" w:hAnsi="宋体" w:cs="宋体"/>
                <w:bCs/>
                <w:szCs w:val="21"/>
              </w:rPr>
              <w:t>60%RH</w:t>
            </w:r>
            <w:r>
              <w:rPr>
                <w:rFonts w:hint="eastAsia" w:ascii="宋体" w:hAnsi="宋体" w:cs="宋体"/>
                <w:bCs/>
                <w:szCs w:val="21"/>
              </w:rPr>
              <w:t>；温湿度需进行现场测试验收。</w:t>
            </w:r>
          </w:p>
          <w:p w14:paraId="52356332">
            <w:pPr>
              <w:tabs>
                <w:tab w:val="left" w:pos="6915"/>
              </w:tabs>
              <w:jc w:val="left"/>
              <w:rPr>
                <w:rFonts w:ascii="宋体" w:hAnsi="宋体" w:cs="宋体"/>
                <w:bCs/>
                <w:szCs w:val="21"/>
              </w:rPr>
            </w:pPr>
            <w:r>
              <w:rPr>
                <w:rFonts w:hint="eastAsia" w:ascii="宋体" w:hAnsi="宋体" w:cs="宋体"/>
                <w:bCs/>
                <w:szCs w:val="21"/>
              </w:rPr>
              <w:t>3）精密空调运行时</w:t>
            </w:r>
            <w:r>
              <w:rPr>
                <w:rStyle w:val="12"/>
              </w:rPr>
              <w:t>综合减振</w:t>
            </w:r>
            <w:r>
              <w:rPr>
                <w:rStyle w:val="12"/>
                <w:rFonts w:hint="eastAsia" w:ascii="宋体" w:hAnsi="宋体"/>
              </w:rPr>
              <w:t>效率</w:t>
            </w:r>
            <w:r>
              <w:rPr>
                <w:rStyle w:val="12"/>
                <w:rFonts w:hint="eastAsia" w:ascii="宋体" w:hAnsi="宋体"/>
                <w:b/>
                <w:bCs/>
              </w:rPr>
              <w:t>≥</w:t>
            </w:r>
            <w:r>
              <w:rPr>
                <w:rStyle w:val="12"/>
                <w:rFonts w:ascii="宋体" w:hAnsi="宋体"/>
              </w:rPr>
              <w:t>95%</w:t>
            </w:r>
            <w:r>
              <w:rPr>
                <w:rStyle w:val="12"/>
                <w:rFonts w:hint="eastAsia" w:ascii="宋体" w:hAnsi="宋体"/>
              </w:rPr>
              <w:t>。</w:t>
            </w:r>
          </w:p>
          <w:p w14:paraId="2D08BC95">
            <w:pPr>
              <w:tabs>
                <w:tab w:val="left" w:pos="6915"/>
              </w:tabs>
              <w:jc w:val="left"/>
              <w:rPr>
                <w:rFonts w:ascii="Arial" w:hAnsi="Arial" w:eastAsia="宋体" w:cs="Arial"/>
                <w:szCs w:val="21"/>
                <w:shd w:val="clear" w:color="auto" w:fill="FFFFFF"/>
              </w:rPr>
            </w:pPr>
            <w:r>
              <w:rPr>
                <w:rFonts w:hint="eastAsia" w:ascii="宋体" w:hAnsi="宋体"/>
                <w:b/>
                <w:szCs w:val="21"/>
              </w:rPr>
              <w:t>保修</w:t>
            </w:r>
            <w:r>
              <w:rPr>
                <w:rFonts w:ascii="宋体" w:hAnsi="宋体"/>
                <w:b/>
                <w:szCs w:val="21"/>
              </w:rPr>
              <w:t>及售后服务</w:t>
            </w:r>
            <w:r>
              <w:rPr>
                <w:rFonts w:hint="eastAsia" w:ascii="宋体" w:hAnsi="宋体"/>
                <w:b/>
                <w:szCs w:val="21"/>
              </w:rPr>
              <w:t>：</w:t>
            </w:r>
            <w:r>
              <w:rPr>
                <w:rFonts w:hint="eastAsia" w:ascii="宋体" w:hAnsi="宋体" w:cs="宋体"/>
                <w:bCs/>
                <w:szCs w:val="21"/>
              </w:rPr>
              <w:t>质保期为</w:t>
            </w:r>
            <w:r>
              <w:rPr>
                <w:rFonts w:hint="eastAsia" w:ascii="宋体" w:hAnsi="宋体" w:cs="宋体"/>
                <w:bCs/>
                <w:szCs w:val="21"/>
                <w:u w:val="single"/>
              </w:rPr>
              <w:t xml:space="preserve"> 24 </w:t>
            </w:r>
            <w:r>
              <w:rPr>
                <w:rFonts w:hint="eastAsia" w:ascii="宋体" w:hAnsi="宋体" w:cs="宋体"/>
                <w:bCs/>
                <w:szCs w:val="21"/>
              </w:rPr>
              <w:t>个月，自验收合格之日起计算。</w:t>
            </w:r>
            <w:bookmarkStart w:id="0" w:name="_GoBack"/>
            <w:bookmarkEnd w:id="0"/>
          </w:p>
        </w:tc>
        <w:tc>
          <w:tcPr>
            <w:tcW w:w="1418" w:type="dxa"/>
            <w:vAlign w:val="center"/>
          </w:tcPr>
          <w:p w14:paraId="324B1D27">
            <w:pPr>
              <w:spacing w:line="240" w:lineRule="atLeast"/>
              <w:jc w:val="center"/>
            </w:pPr>
          </w:p>
        </w:tc>
        <w:tc>
          <w:tcPr>
            <w:tcW w:w="992" w:type="dxa"/>
            <w:vAlign w:val="center"/>
          </w:tcPr>
          <w:p w14:paraId="06AA2CA0">
            <w:pPr>
              <w:spacing w:line="240" w:lineRule="atLeast"/>
              <w:jc w:val="center"/>
            </w:pPr>
          </w:p>
        </w:tc>
      </w:tr>
    </w:tbl>
    <w:p w14:paraId="6DFFEB29">
      <w:pPr>
        <w:ind w:right="840"/>
        <w:rPr>
          <w:sz w:val="24"/>
        </w:rPr>
      </w:pPr>
    </w:p>
    <w:p w14:paraId="0DED7F3B">
      <w:pPr>
        <w:ind w:right="840" w:firstLine="5040" w:firstLineChars="2100"/>
        <w:rPr>
          <w:sz w:val="24"/>
        </w:rPr>
      </w:pPr>
    </w:p>
    <w:p w14:paraId="6B36AD4F">
      <w:pPr>
        <w:ind w:right="840" w:firstLine="5040" w:firstLineChars="2100"/>
        <w:rPr>
          <w:sz w:val="24"/>
        </w:rPr>
      </w:pPr>
      <w:r>
        <w:rPr>
          <w:sz w:val="24"/>
        </w:rPr>
        <w:t>公司名称</w:t>
      </w:r>
      <w:r>
        <w:rPr>
          <w:rFonts w:hint="eastAsia"/>
          <w:sz w:val="24"/>
        </w:rPr>
        <w:t>（盖章）：</w:t>
      </w:r>
    </w:p>
    <w:p w14:paraId="2BA3965A">
      <w:pPr>
        <w:ind w:right="840"/>
        <w:jc w:val="center"/>
        <w:rPr>
          <w:sz w:val="24"/>
        </w:rPr>
      </w:pPr>
      <w:r>
        <w:rPr>
          <w:rFonts w:hint="eastAsia"/>
          <w:sz w:val="24"/>
        </w:rPr>
        <w:t xml:space="preserve"> </w:t>
      </w:r>
      <w:r>
        <w:rPr>
          <w:sz w:val="24"/>
        </w:rPr>
        <w:t xml:space="preserve">                            日期</w:t>
      </w:r>
      <w:r>
        <w:rPr>
          <w:rFonts w:hint="eastAsia"/>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YaHei">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5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437"/>
    <w:rsid w:val="000110C4"/>
    <w:rsid w:val="00015CB8"/>
    <w:rsid w:val="00020783"/>
    <w:rsid w:val="00025804"/>
    <w:rsid w:val="00050922"/>
    <w:rsid w:val="00086882"/>
    <w:rsid w:val="00090223"/>
    <w:rsid w:val="00091C8D"/>
    <w:rsid w:val="000E54CE"/>
    <w:rsid w:val="00102C13"/>
    <w:rsid w:val="00123779"/>
    <w:rsid w:val="001501D1"/>
    <w:rsid w:val="001548E0"/>
    <w:rsid w:val="001B219D"/>
    <w:rsid w:val="001D3367"/>
    <w:rsid w:val="002026B2"/>
    <w:rsid w:val="002212AC"/>
    <w:rsid w:val="00261EE1"/>
    <w:rsid w:val="00267E42"/>
    <w:rsid w:val="002D1729"/>
    <w:rsid w:val="002E518A"/>
    <w:rsid w:val="003009AA"/>
    <w:rsid w:val="003438B5"/>
    <w:rsid w:val="00363C73"/>
    <w:rsid w:val="003923FC"/>
    <w:rsid w:val="003C2330"/>
    <w:rsid w:val="003C7C5A"/>
    <w:rsid w:val="004626C3"/>
    <w:rsid w:val="00474B94"/>
    <w:rsid w:val="004973C3"/>
    <w:rsid w:val="004B0D2F"/>
    <w:rsid w:val="00516FB3"/>
    <w:rsid w:val="00547A75"/>
    <w:rsid w:val="00584F75"/>
    <w:rsid w:val="005C4758"/>
    <w:rsid w:val="005C4AA6"/>
    <w:rsid w:val="005E2C0C"/>
    <w:rsid w:val="005F14E0"/>
    <w:rsid w:val="005F7E7B"/>
    <w:rsid w:val="006074C0"/>
    <w:rsid w:val="00630F8F"/>
    <w:rsid w:val="00642CDA"/>
    <w:rsid w:val="00670B3D"/>
    <w:rsid w:val="006C07B4"/>
    <w:rsid w:val="006D67E0"/>
    <w:rsid w:val="00705387"/>
    <w:rsid w:val="00720BC4"/>
    <w:rsid w:val="007230C5"/>
    <w:rsid w:val="00731AE1"/>
    <w:rsid w:val="00744E8E"/>
    <w:rsid w:val="00750961"/>
    <w:rsid w:val="00757D88"/>
    <w:rsid w:val="007A4C29"/>
    <w:rsid w:val="007B2AE3"/>
    <w:rsid w:val="00811B08"/>
    <w:rsid w:val="00825420"/>
    <w:rsid w:val="00832C3E"/>
    <w:rsid w:val="00872767"/>
    <w:rsid w:val="00877DA3"/>
    <w:rsid w:val="00886A2E"/>
    <w:rsid w:val="008A717C"/>
    <w:rsid w:val="008D62B6"/>
    <w:rsid w:val="008E3DB8"/>
    <w:rsid w:val="008F0FFC"/>
    <w:rsid w:val="008F5C2B"/>
    <w:rsid w:val="009149BA"/>
    <w:rsid w:val="00961437"/>
    <w:rsid w:val="00965011"/>
    <w:rsid w:val="00995429"/>
    <w:rsid w:val="00996AC3"/>
    <w:rsid w:val="009B6E26"/>
    <w:rsid w:val="009C3224"/>
    <w:rsid w:val="009C4C31"/>
    <w:rsid w:val="009F0C82"/>
    <w:rsid w:val="009F5C3A"/>
    <w:rsid w:val="00A01094"/>
    <w:rsid w:val="00A11447"/>
    <w:rsid w:val="00A20D98"/>
    <w:rsid w:val="00A27625"/>
    <w:rsid w:val="00A44E8A"/>
    <w:rsid w:val="00A533CA"/>
    <w:rsid w:val="00A8112C"/>
    <w:rsid w:val="00AC1D37"/>
    <w:rsid w:val="00AC67EF"/>
    <w:rsid w:val="00AF7A8B"/>
    <w:rsid w:val="00B04741"/>
    <w:rsid w:val="00B311D0"/>
    <w:rsid w:val="00B64004"/>
    <w:rsid w:val="00B7785A"/>
    <w:rsid w:val="00B90DC2"/>
    <w:rsid w:val="00B971DE"/>
    <w:rsid w:val="00BA1B3F"/>
    <w:rsid w:val="00BC2767"/>
    <w:rsid w:val="00C102A3"/>
    <w:rsid w:val="00C1298E"/>
    <w:rsid w:val="00C26D9F"/>
    <w:rsid w:val="00C442AD"/>
    <w:rsid w:val="00CA3288"/>
    <w:rsid w:val="00CA3E3B"/>
    <w:rsid w:val="00D011DC"/>
    <w:rsid w:val="00D04097"/>
    <w:rsid w:val="00D24D09"/>
    <w:rsid w:val="00D72E1E"/>
    <w:rsid w:val="00D81354"/>
    <w:rsid w:val="00E00131"/>
    <w:rsid w:val="00E147A9"/>
    <w:rsid w:val="00E5012E"/>
    <w:rsid w:val="00E762FD"/>
    <w:rsid w:val="00E930C8"/>
    <w:rsid w:val="00EA412A"/>
    <w:rsid w:val="00EA6BA9"/>
    <w:rsid w:val="00F347F0"/>
    <w:rsid w:val="00F34AE9"/>
    <w:rsid w:val="00F357B0"/>
    <w:rsid w:val="00F43549"/>
    <w:rsid w:val="00F50B62"/>
    <w:rsid w:val="00F70F95"/>
    <w:rsid w:val="00F829DE"/>
    <w:rsid w:val="00F82AA6"/>
    <w:rsid w:val="00F855E3"/>
    <w:rsid w:val="00FC7C08"/>
    <w:rsid w:val="00FE15FA"/>
    <w:rsid w:val="0C7718F8"/>
    <w:rsid w:val="2D070EC5"/>
    <w:rsid w:val="46BB5348"/>
    <w:rsid w:val="47FA5DC7"/>
    <w:rsid w:val="51936088"/>
    <w:rsid w:val="668D6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line="278" w:lineRule="auto"/>
      <w:jc w:val="left"/>
    </w:pPr>
    <w:rPr>
      <w:rFonts w:ascii="Times New Roman" w:hAnsi="Times New Roman" w:eastAsia="宋体" w:cs="Times New Roman"/>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style01"/>
    <w:basedOn w:val="7"/>
    <w:qFormat/>
    <w:uiPriority w:val="0"/>
    <w:rPr>
      <w:rFonts w:hint="default" w:ascii="MicrosoftYaHei" w:hAnsi="MicrosoftYaHei"/>
      <w:color w:val="000000"/>
      <w:sz w:val="22"/>
      <w:szCs w:val="22"/>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styleId="11">
    <w:name w:val="List Paragraph"/>
    <w:basedOn w:val="1"/>
    <w:autoRedefine/>
    <w:qFormat/>
    <w:uiPriority w:val="34"/>
    <w:pPr>
      <w:tabs>
        <w:tab w:val="left" w:pos="1428"/>
      </w:tabs>
      <w:ind w:firstLine="420" w:firstLineChars="200"/>
      <w:jc w:val="left"/>
    </w:pPr>
    <w:rPr>
      <w:rFonts w:ascii="Times New Roman" w:hAnsi="Times New Roman" w:eastAsia="宋体" w:cs="Times New Roman"/>
      <w:szCs w:val="24"/>
    </w:rPr>
  </w:style>
  <w:style w:type="character" w:customStyle="1" w:styleId="12">
    <w:name w:val="qk-md-text"/>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3</Pages>
  <Words>434</Words>
  <Characters>486</Characters>
  <Lines>4</Lines>
  <Paragraphs>1</Paragraphs>
  <TotalTime>0</TotalTime>
  <ScaleCrop>false</ScaleCrop>
  <LinksUpToDate>false</LinksUpToDate>
  <CharactersWithSpaces>515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2024-07-15T01:36:00Z</dcterms:created>
  <dc:creator>China</dc:creator>
  <cp:lastModifiedBy>陈文佳</cp:lastModifiedBy>
  <dcterms:modified xsi:type="dcterms:W3CDTF">2026-07-31T08:15:23Z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eyJoZGlkIjoiMzc0OTQ1OWZiNDc3Y2MyZmZmZWIzYzRlODQ4NDE3OTYiLCJ1c2VySWQiOiIxNzc0OTA2Mjk1In0=</vt:lpwstr>
  </property>
  <property fmtid="{D5CDD505-2E9C-101B-9397-08002B2CF9AE}" pid="3" name="KSOProductBuildVer">
    <vt:lpwstr>2052-12.1.0.23542</vt:lpwstr>
  </property>
  <property fmtid="{D5CDD505-2E9C-101B-9397-08002B2CF9AE}" pid="4" name="ICV">
    <vt:lpwstr>20B1B4D6E71F47CB8E65CCEFBC87FC75_12</vt:lpwstr>
  </property>
</Properties>
</file>