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6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22"/>
        <w:gridCol w:w="5244"/>
        <w:gridCol w:w="1418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422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5244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技术指标</w:t>
            </w:r>
          </w:p>
        </w:tc>
        <w:tc>
          <w:tcPr>
            <w:tcW w:w="1418" w:type="dxa"/>
            <w:vAlign w:val="center"/>
          </w:tcPr>
          <w:p w14:paraId="37F7A556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无偏离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正偏离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负偏离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0FD52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sCMOS 探测器</w:t>
            </w:r>
          </w:p>
        </w:tc>
        <w:tc>
          <w:tcPr>
            <w:tcW w:w="5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543B799">
            <w:pPr>
              <w:tabs>
                <w:tab w:val="left" w:pos="6915"/>
              </w:tabs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合肥先进光源</w:t>
            </w:r>
            <w:r>
              <w:rPr>
                <w:rFonts w:hint="eastAsia"/>
                <w:bCs/>
                <w:szCs w:val="21"/>
              </w:rPr>
              <w:t>BL09中能显微谱学成像线站新增一套超分辨光学荧光成像系统，开展超分辨光学荧光成像，将荧光信号与X射线成像所获得的超微结构相关联，对于研究细胞功能与结构之间的关系具有重要意义。拟采购1台s</w:t>
            </w:r>
            <w:r>
              <w:rPr>
                <w:bCs/>
                <w:szCs w:val="21"/>
              </w:rPr>
              <w:t>CMOS</w:t>
            </w:r>
            <w:r>
              <w:rPr>
                <w:rFonts w:hint="eastAsia"/>
                <w:bCs/>
                <w:szCs w:val="21"/>
              </w:rPr>
              <w:t>探测器进行荧光图像采集。</w:t>
            </w:r>
          </w:p>
          <w:p w14:paraId="2E84D032">
            <w:pPr>
              <w:tabs>
                <w:tab w:val="left" w:pos="6915"/>
              </w:tabs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主要指标要求:</w:t>
            </w:r>
          </w:p>
          <w:tbl>
            <w:tblPr>
              <w:tblStyle w:val="6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12"/>
              <w:gridCol w:w="2627"/>
            </w:tblGrid>
            <w:tr w14:paraId="3EFCCFE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266" w:hRule="atLeast"/>
                <w:jc w:val="center"/>
              </w:trPr>
              <w:tc>
                <w:tcPr>
                  <w:tcW w:w="1712" w:type="dxa"/>
                </w:tcPr>
                <w:p w14:paraId="69B4057B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响应波长范围</w:t>
                  </w:r>
                </w:p>
              </w:tc>
              <w:tc>
                <w:tcPr>
                  <w:tcW w:w="2627" w:type="dxa"/>
                </w:tcPr>
                <w:p w14:paraId="3A4332B3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覆盖4</w:t>
                  </w:r>
                  <w:r>
                    <w:rPr>
                      <w:bCs/>
                      <w:szCs w:val="21"/>
                    </w:rPr>
                    <w:t xml:space="preserve">00 </w:t>
                  </w:r>
                  <w:r>
                    <w:rPr>
                      <w:rFonts w:hint="eastAsia"/>
                      <w:bCs/>
                      <w:szCs w:val="21"/>
                    </w:rPr>
                    <w:t>nm</w:t>
                  </w:r>
                  <w:r>
                    <w:rPr>
                      <w:bCs/>
                      <w:szCs w:val="21"/>
                    </w:rPr>
                    <w:t xml:space="preserve">-700 </w:t>
                  </w:r>
                  <w:r>
                    <w:rPr>
                      <w:rFonts w:hint="eastAsia"/>
                      <w:bCs/>
                      <w:szCs w:val="21"/>
                    </w:rPr>
                    <w:t>nm波段</w:t>
                  </w:r>
                </w:p>
              </w:tc>
            </w:tr>
            <w:tr w14:paraId="673BBB1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6" w:hRule="atLeast"/>
                <w:jc w:val="center"/>
              </w:trPr>
              <w:tc>
                <w:tcPr>
                  <w:tcW w:w="1712" w:type="dxa"/>
                </w:tcPr>
                <w:p w14:paraId="03C0805A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探测器类型</w:t>
                  </w:r>
                </w:p>
              </w:tc>
              <w:tc>
                <w:tcPr>
                  <w:tcW w:w="2627" w:type="dxa"/>
                </w:tcPr>
                <w:p w14:paraId="0B08AF5A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背照式</w:t>
                  </w:r>
                </w:p>
              </w:tc>
            </w:tr>
            <w:tr w14:paraId="13E495A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6" w:hRule="atLeast"/>
                <w:jc w:val="center"/>
              </w:trPr>
              <w:tc>
                <w:tcPr>
                  <w:tcW w:w="1712" w:type="dxa"/>
                </w:tcPr>
                <w:p w14:paraId="7984CE9F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分辨率</w:t>
                  </w:r>
                </w:p>
              </w:tc>
              <w:tc>
                <w:tcPr>
                  <w:tcW w:w="2627" w:type="dxa"/>
                </w:tcPr>
                <w:p w14:paraId="76F79A3A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≥2</w:t>
                  </w:r>
                  <w:r>
                    <w:rPr>
                      <w:bCs/>
                      <w:szCs w:val="21"/>
                    </w:rPr>
                    <w:t>048*2048</w:t>
                  </w:r>
                </w:p>
              </w:tc>
            </w:tr>
            <w:tr w14:paraId="49EA80F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8" w:hRule="atLeast"/>
                <w:jc w:val="center"/>
              </w:trPr>
              <w:tc>
                <w:tcPr>
                  <w:tcW w:w="1712" w:type="dxa"/>
                </w:tcPr>
                <w:p w14:paraId="434D5DB7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像素大小</w:t>
                  </w:r>
                </w:p>
              </w:tc>
              <w:tc>
                <w:tcPr>
                  <w:tcW w:w="2627" w:type="dxa"/>
                </w:tcPr>
                <w:p w14:paraId="0A11049C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≤</w:t>
                  </w:r>
                  <w:r>
                    <w:rPr>
                      <w:bCs/>
                      <w:szCs w:val="21"/>
                    </w:rPr>
                    <w:t>6.5 μm</w:t>
                  </w:r>
                </w:p>
              </w:tc>
            </w:tr>
            <w:tr w14:paraId="44D380E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8" w:hRule="atLeast"/>
                <w:jc w:val="center"/>
              </w:trPr>
              <w:tc>
                <w:tcPr>
                  <w:tcW w:w="1712" w:type="dxa"/>
                </w:tcPr>
                <w:p w14:paraId="4461F7E4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像素合并</w:t>
                  </w:r>
                </w:p>
              </w:tc>
              <w:tc>
                <w:tcPr>
                  <w:tcW w:w="2627" w:type="dxa"/>
                </w:tcPr>
                <w:p w14:paraId="7D6FCB34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1×</w:t>
                  </w:r>
                  <w:r>
                    <w:rPr>
                      <w:bCs/>
                      <w:szCs w:val="21"/>
                    </w:rPr>
                    <w:t>1</w:t>
                  </w:r>
                  <w:r>
                    <w:rPr>
                      <w:rFonts w:hint="eastAsia"/>
                      <w:bCs/>
                      <w:szCs w:val="21"/>
                    </w:rPr>
                    <w:t>,</w:t>
                  </w:r>
                  <w:r>
                    <w:rPr>
                      <w:bCs/>
                      <w:szCs w:val="21"/>
                    </w:rPr>
                    <w:t xml:space="preserve"> 2</w:t>
                  </w:r>
                  <w:r>
                    <w:rPr>
                      <w:rFonts w:hint="eastAsia"/>
                      <w:bCs/>
                      <w:szCs w:val="21"/>
                    </w:rPr>
                    <w:t>×</w:t>
                  </w:r>
                  <w:r>
                    <w:rPr>
                      <w:bCs/>
                      <w:szCs w:val="21"/>
                    </w:rPr>
                    <w:t>2</w:t>
                  </w:r>
                  <w:r>
                    <w:rPr>
                      <w:rFonts w:hint="eastAsia"/>
                      <w:bCs/>
                      <w:szCs w:val="21"/>
                    </w:rPr>
                    <w:t>,</w:t>
                  </w:r>
                  <w:r>
                    <w:rPr>
                      <w:bCs/>
                      <w:szCs w:val="21"/>
                    </w:rPr>
                    <w:t xml:space="preserve"> 4</w:t>
                  </w:r>
                  <w:r>
                    <w:rPr>
                      <w:rFonts w:hint="eastAsia"/>
                      <w:bCs/>
                      <w:szCs w:val="21"/>
                    </w:rPr>
                    <w:t>×</w:t>
                  </w:r>
                  <w:r>
                    <w:rPr>
                      <w:bCs/>
                      <w:szCs w:val="21"/>
                    </w:rPr>
                    <w:t>4</w:t>
                  </w:r>
                </w:p>
              </w:tc>
            </w:tr>
            <w:tr w14:paraId="4E4F252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6" w:hRule="atLeast"/>
                <w:jc w:val="center"/>
              </w:trPr>
              <w:tc>
                <w:tcPr>
                  <w:tcW w:w="1712" w:type="dxa"/>
                </w:tcPr>
                <w:p w14:paraId="0103FC4D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bookmarkStart w:id="0" w:name="_Hlk220591463"/>
                  <w:r>
                    <w:rPr>
                      <w:rFonts w:hint="eastAsia"/>
                      <w:bCs/>
                      <w:szCs w:val="21"/>
                    </w:rPr>
                    <w:t>读出噪声</w:t>
                  </w:r>
                </w:p>
              </w:tc>
              <w:tc>
                <w:tcPr>
                  <w:tcW w:w="2627" w:type="dxa"/>
                </w:tcPr>
                <w:p w14:paraId="10F2D12B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≤</w:t>
                  </w:r>
                  <w:r>
                    <w:rPr>
                      <w:bCs/>
                      <w:szCs w:val="21"/>
                    </w:rPr>
                    <w:t xml:space="preserve">0.45 </w:t>
                  </w:r>
                  <w:r>
                    <w:rPr>
                      <w:rFonts w:hint="eastAsia"/>
                      <w:bCs/>
                      <w:szCs w:val="21"/>
                    </w:rPr>
                    <w:t>e</w:t>
                  </w:r>
                  <w:r>
                    <w:rPr>
                      <w:bCs/>
                      <w:szCs w:val="21"/>
                      <w:vertAlign w:val="superscript"/>
                    </w:rPr>
                    <w:t>-</w:t>
                  </w:r>
                </w:p>
              </w:tc>
            </w:tr>
            <w:tr w14:paraId="1F65BFE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6" w:hRule="atLeast"/>
                <w:jc w:val="center"/>
              </w:trPr>
              <w:tc>
                <w:tcPr>
                  <w:tcW w:w="1712" w:type="dxa"/>
                </w:tcPr>
                <w:p w14:paraId="4D504568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峰值量子效率</w:t>
                  </w:r>
                </w:p>
              </w:tc>
              <w:tc>
                <w:tcPr>
                  <w:tcW w:w="2627" w:type="dxa"/>
                </w:tcPr>
                <w:p w14:paraId="1B8383D8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≥8</w:t>
                  </w:r>
                  <w:r>
                    <w:rPr>
                      <w:bCs/>
                      <w:szCs w:val="21"/>
                    </w:rPr>
                    <w:t>5%</w:t>
                  </w:r>
                </w:p>
              </w:tc>
            </w:tr>
            <w:tr w14:paraId="67D4765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6" w:hRule="atLeast"/>
                <w:jc w:val="center"/>
              </w:trPr>
              <w:tc>
                <w:tcPr>
                  <w:tcW w:w="1712" w:type="dxa"/>
                </w:tcPr>
                <w:p w14:paraId="1D7EB604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制冷方式</w:t>
                  </w:r>
                </w:p>
              </w:tc>
              <w:tc>
                <w:tcPr>
                  <w:tcW w:w="2627" w:type="dxa"/>
                </w:tcPr>
                <w:p w14:paraId="21196F6D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风冷或水冷（若水冷需提供相应水冷机）</w:t>
                  </w:r>
                </w:p>
              </w:tc>
            </w:tr>
            <w:tr w14:paraId="128CD72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6" w:hRule="atLeast"/>
                <w:jc w:val="center"/>
              </w:trPr>
              <w:tc>
                <w:tcPr>
                  <w:tcW w:w="1712" w:type="dxa"/>
                </w:tcPr>
                <w:p w14:paraId="5CCE092E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暗电流</w:t>
                  </w:r>
                </w:p>
              </w:tc>
              <w:tc>
                <w:tcPr>
                  <w:tcW w:w="2627" w:type="dxa"/>
                </w:tcPr>
                <w:p w14:paraId="67430E6A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≤</w:t>
                  </w:r>
                  <w:r>
                    <w:rPr>
                      <w:bCs/>
                      <w:szCs w:val="21"/>
                    </w:rPr>
                    <w:t xml:space="preserve">1.0 </w:t>
                  </w:r>
                  <w:r>
                    <w:rPr>
                      <w:rFonts w:hint="eastAsia"/>
                      <w:bCs/>
                      <w:szCs w:val="21"/>
                    </w:rPr>
                    <w:t>e</w:t>
                  </w:r>
                  <w:r>
                    <w:rPr>
                      <w:bCs/>
                      <w:szCs w:val="21"/>
                      <w:vertAlign w:val="superscript"/>
                    </w:rPr>
                    <w:t xml:space="preserve">- </w:t>
                  </w:r>
                  <w:r>
                    <w:rPr>
                      <w:rFonts w:hint="eastAsia"/>
                      <w:bCs/>
                      <w:szCs w:val="21"/>
                    </w:rPr>
                    <w:t>/</w:t>
                  </w:r>
                  <w:r>
                    <w:rPr>
                      <w:bCs/>
                      <w:szCs w:val="21"/>
                    </w:rPr>
                    <w:t>pixel/s</w:t>
                  </w:r>
                </w:p>
              </w:tc>
            </w:tr>
            <w:tr w14:paraId="15B1EC5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6" w:hRule="atLeast"/>
                <w:jc w:val="center"/>
              </w:trPr>
              <w:tc>
                <w:tcPr>
                  <w:tcW w:w="1712" w:type="dxa"/>
                </w:tcPr>
                <w:p w14:paraId="402669BA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暗电流不均匀性(</w:t>
                  </w:r>
                  <w:r>
                    <w:rPr>
                      <w:bCs/>
                      <w:szCs w:val="21"/>
                    </w:rPr>
                    <w:t>DSNU)</w:t>
                  </w:r>
                </w:p>
              </w:tc>
              <w:tc>
                <w:tcPr>
                  <w:tcW w:w="2627" w:type="dxa"/>
                </w:tcPr>
                <w:p w14:paraId="1CB2E2C2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≤0</w:t>
                  </w:r>
                  <w:r>
                    <w:rPr>
                      <w:bCs/>
                      <w:szCs w:val="21"/>
                    </w:rPr>
                    <w:t xml:space="preserve">.3 </w:t>
                  </w:r>
                  <w:r>
                    <w:rPr>
                      <w:rFonts w:hint="eastAsia"/>
                      <w:bCs/>
                      <w:szCs w:val="21"/>
                    </w:rPr>
                    <w:t>e</w:t>
                  </w:r>
                  <w:r>
                    <w:rPr>
                      <w:bCs/>
                      <w:szCs w:val="21"/>
                      <w:vertAlign w:val="superscript"/>
                    </w:rPr>
                    <w:t xml:space="preserve">- </w:t>
                  </w:r>
                  <w:r>
                    <w:rPr>
                      <w:bCs/>
                      <w:szCs w:val="21"/>
                    </w:rPr>
                    <w:t>rms</w:t>
                  </w:r>
                </w:p>
              </w:tc>
            </w:tr>
            <w:tr w14:paraId="5FE8ECD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6" w:hRule="atLeast"/>
                <w:jc w:val="center"/>
              </w:trPr>
              <w:tc>
                <w:tcPr>
                  <w:tcW w:w="1712" w:type="dxa"/>
                </w:tcPr>
                <w:p w14:paraId="65C3AFF9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光响应不均匀性(</w:t>
                  </w:r>
                  <w:r>
                    <w:rPr>
                      <w:bCs/>
                      <w:szCs w:val="21"/>
                    </w:rPr>
                    <w:t>PRNU)</w:t>
                  </w:r>
                </w:p>
              </w:tc>
              <w:tc>
                <w:tcPr>
                  <w:tcW w:w="2627" w:type="dxa"/>
                </w:tcPr>
                <w:p w14:paraId="1F42C76A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≤0</w:t>
                  </w:r>
                  <w:r>
                    <w:rPr>
                      <w:bCs/>
                      <w:szCs w:val="21"/>
                    </w:rPr>
                    <w:t xml:space="preserve">.5 % </w:t>
                  </w:r>
                  <w:r>
                    <w:rPr>
                      <w:rFonts w:hint="eastAsia"/>
                      <w:bCs/>
                      <w:szCs w:val="21"/>
                    </w:rPr>
                    <w:t>rms</w:t>
                  </w:r>
                </w:p>
              </w:tc>
            </w:tr>
            <w:tr w14:paraId="6E4C008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6" w:hRule="atLeast"/>
                <w:jc w:val="center"/>
              </w:trPr>
              <w:tc>
                <w:tcPr>
                  <w:tcW w:w="1712" w:type="dxa"/>
                </w:tcPr>
                <w:p w14:paraId="05D220CA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位深</w:t>
                  </w:r>
                </w:p>
              </w:tc>
              <w:tc>
                <w:tcPr>
                  <w:tcW w:w="2627" w:type="dxa"/>
                </w:tcPr>
                <w:p w14:paraId="69409975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1</w:t>
                  </w:r>
                  <w:r>
                    <w:rPr>
                      <w:bCs/>
                      <w:szCs w:val="21"/>
                    </w:rPr>
                    <w:t xml:space="preserve">6 </w:t>
                  </w:r>
                  <w:r>
                    <w:rPr>
                      <w:rFonts w:hint="eastAsia"/>
                      <w:bCs/>
                      <w:szCs w:val="21"/>
                    </w:rPr>
                    <w:t>bit</w:t>
                  </w:r>
                </w:p>
              </w:tc>
            </w:tr>
            <w:tr w14:paraId="6A1B393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6" w:hRule="atLeast"/>
                <w:jc w:val="center"/>
              </w:trPr>
              <w:tc>
                <w:tcPr>
                  <w:tcW w:w="1712" w:type="dxa"/>
                </w:tcPr>
                <w:p w14:paraId="74BE4CBB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帧速</w:t>
                  </w:r>
                </w:p>
              </w:tc>
              <w:tc>
                <w:tcPr>
                  <w:tcW w:w="2627" w:type="dxa"/>
                </w:tcPr>
                <w:p w14:paraId="43929998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≥</w:t>
                  </w:r>
                  <w:r>
                    <w:rPr>
                      <w:bCs/>
                      <w:szCs w:val="21"/>
                    </w:rPr>
                    <w:t>120 fps</w:t>
                  </w:r>
                </w:p>
              </w:tc>
            </w:tr>
            <w:tr w14:paraId="77D32A6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6" w:hRule="atLeast"/>
                <w:jc w:val="center"/>
              </w:trPr>
              <w:tc>
                <w:tcPr>
                  <w:tcW w:w="1712" w:type="dxa"/>
                </w:tcPr>
                <w:p w14:paraId="316E69B1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数据传输接口</w:t>
                  </w:r>
                </w:p>
              </w:tc>
              <w:tc>
                <w:tcPr>
                  <w:tcW w:w="2627" w:type="dxa"/>
                </w:tcPr>
                <w:p w14:paraId="73D9710E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数据采集卡并含U</w:t>
                  </w:r>
                  <w:r>
                    <w:rPr>
                      <w:bCs/>
                      <w:szCs w:val="21"/>
                    </w:rPr>
                    <w:t>SB 3.1</w:t>
                  </w:r>
                  <w:r>
                    <w:rPr>
                      <w:rFonts w:hint="eastAsia"/>
                      <w:bCs/>
                      <w:szCs w:val="21"/>
                    </w:rPr>
                    <w:t>及以上接口</w:t>
                  </w:r>
                </w:p>
              </w:tc>
            </w:tr>
            <w:tr w14:paraId="3C29B9E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6" w:hRule="atLeast"/>
                <w:jc w:val="center"/>
              </w:trPr>
              <w:tc>
                <w:tcPr>
                  <w:tcW w:w="1712" w:type="dxa"/>
                </w:tcPr>
                <w:p w14:paraId="7B0ECF97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触发模式</w:t>
                  </w:r>
                </w:p>
              </w:tc>
              <w:tc>
                <w:tcPr>
                  <w:tcW w:w="2627" w:type="dxa"/>
                </w:tcPr>
                <w:p w14:paraId="023EBEC8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硬件、软件</w:t>
                  </w:r>
                </w:p>
              </w:tc>
            </w:tr>
            <w:tr w14:paraId="5AA153A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6" w:hRule="atLeast"/>
                <w:jc w:val="center"/>
              </w:trPr>
              <w:tc>
                <w:tcPr>
                  <w:tcW w:w="1712" w:type="dxa"/>
                </w:tcPr>
                <w:p w14:paraId="27CE8694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S</w:t>
                  </w:r>
                  <w:r>
                    <w:rPr>
                      <w:bCs/>
                      <w:szCs w:val="21"/>
                    </w:rPr>
                    <w:t>DK</w:t>
                  </w:r>
                </w:p>
              </w:tc>
              <w:tc>
                <w:tcPr>
                  <w:tcW w:w="2627" w:type="dxa"/>
                </w:tcPr>
                <w:p w14:paraId="390D9F34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C</w:t>
                  </w:r>
                  <w:r>
                    <w:rPr>
                      <w:bCs/>
                      <w:szCs w:val="21"/>
                    </w:rPr>
                    <w:t>/C++</w:t>
                  </w:r>
                </w:p>
              </w:tc>
            </w:tr>
            <w:tr w14:paraId="039B63F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5" w:hRule="atLeast"/>
                <w:jc w:val="center"/>
              </w:trPr>
              <w:tc>
                <w:tcPr>
                  <w:tcW w:w="1712" w:type="dxa"/>
                </w:tcPr>
                <w:p w14:paraId="7A12E543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E</w:t>
                  </w:r>
                  <w:r>
                    <w:rPr>
                      <w:bCs/>
                      <w:szCs w:val="21"/>
                    </w:rPr>
                    <w:t>PICS</w:t>
                  </w:r>
                  <w:r>
                    <w:rPr>
                      <w:rFonts w:hint="eastAsia"/>
                      <w:bCs/>
                      <w:szCs w:val="21"/>
                    </w:rPr>
                    <w:t>接口</w:t>
                  </w:r>
                </w:p>
              </w:tc>
              <w:tc>
                <w:tcPr>
                  <w:tcW w:w="2627" w:type="dxa"/>
                </w:tcPr>
                <w:p w14:paraId="41F23300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需提供E</w:t>
                  </w:r>
                  <w:r>
                    <w:rPr>
                      <w:bCs/>
                      <w:szCs w:val="21"/>
                    </w:rPr>
                    <w:t>PICS</w:t>
                  </w:r>
                  <w:r>
                    <w:rPr>
                      <w:rFonts w:hint="eastAsia"/>
                      <w:bCs/>
                      <w:szCs w:val="21"/>
                    </w:rPr>
                    <w:t>驱动接口</w:t>
                  </w:r>
                </w:p>
              </w:tc>
            </w:tr>
            <w:bookmarkEnd w:id="0"/>
          </w:tbl>
          <w:p w14:paraId="6401292E">
            <w:pPr>
              <w:pStyle w:val="11"/>
              <w:numPr>
                <w:ilvl w:val="0"/>
                <w:numId w:val="0"/>
              </w:numPr>
              <w:ind w:left="360" w:leftChars="0" w:hanging="360" w:firstLineChars="0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205FF5AB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商务条款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88EEA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交货期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合同签订后</w:t>
            </w:r>
            <w:r>
              <w:rPr>
                <w:rFonts w:ascii="宋体" w:hAnsi="宋体"/>
                <w:b w:val="0"/>
                <w:bCs/>
                <w:szCs w:val="21"/>
              </w:rPr>
              <w:t>4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个月内</w:t>
            </w:r>
          </w:p>
          <w:p w14:paraId="174FD61F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交付进度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一次性交付</w:t>
            </w:r>
          </w:p>
          <w:p w14:paraId="2DC6EBE7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付款方式</w:t>
            </w:r>
            <w:r>
              <w:rPr>
                <w:rFonts w:hint="eastAsia" w:ascii="宋体" w:hAnsi="宋体"/>
                <w:b/>
                <w:szCs w:val="21"/>
              </w:rPr>
              <w:t>：（二选一）：</w:t>
            </w:r>
          </w:p>
          <w:p w14:paraId="4354CE4A">
            <w:pPr>
              <w:ind w:firstLine="420" w:firstLineChars="200"/>
              <w:rPr>
                <w:bCs/>
              </w:rPr>
            </w:pPr>
            <w:r>
              <w:rPr>
                <w:rFonts w:hint="eastAsia" w:ascii="宋体" w:hAnsi="宋体"/>
                <w:bCs/>
                <w:szCs w:val="21"/>
              </w:rPr>
              <w:t>国产产品：</w:t>
            </w:r>
          </w:p>
          <w:p w14:paraId="277AD0C4">
            <w:pPr>
              <w:ind w:firstLine="420"/>
            </w:pPr>
            <w:r>
              <w:rPr>
                <w:rFonts w:hint="eastAsia"/>
              </w:rPr>
              <w:t>（1）合同签订后，买方支付合同总价的50%；</w:t>
            </w:r>
          </w:p>
          <w:p w14:paraId="2DA7A78D">
            <w:pPr>
              <w:ind w:firstLine="420"/>
            </w:pPr>
            <w:r>
              <w:rPr>
                <w:rFonts w:hint="eastAsia"/>
              </w:rPr>
              <w:t>（2）货物在制造现场预验收完毕后，买方支付合同总价的30%；</w:t>
            </w:r>
          </w:p>
          <w:p w14:paraId="13D3967B">
            <w:pPr>
              <w:ind w:firstLine="420"/>
            </w:pPr>
            <w:r>
              <w:rPr>
                <w:rFonts w:hint="eastAsia"/>
              </w:rPr>
              <w:t>（3）货到买方指定地点并且经买方验收合格后，买方支付合同总价的20%。</w:t>
            </w:r>
          </w:p>
          <w:p w14:paraId="3740A063">
            <w:pPr>
              <w:ind w:firstLine="420"/>
            </w:pPr>
            <w:r>
              <w:rPr>
                <w:rFonts w:hint="eastAsia"/>
              </w:rPr>
              <w:t>进口产品：</w:t>
            </w:r>
          </w:p>
          <w:p w14:paraId="4555B62E">
            <w:pPr>
              <w:ind w:firstLine="420"/>
            </w:pPr>
            <w:r>
              <w:rPr>
                <w:rFonts w:hint="eastAsia"/>
              </w:rPr>
              <w:t>一、原则上应采用信用证方式或凭发货单据（运单）电汇预付比例不超过90%，尾款待验收合格之后支付。</w:t>
            </w:r>
          </w:p>
          <w:p w14:paraId="043ACFBE">
            <w:pPr>
              <w:ind w:firstLine="420"/>
            </w:pPr>
            <w:r>
              <w:rPr>
                <w:rFonts w:hint="eastAsia"/>
              </w:rPr>
              <w:t>二、既非信用证又非凭发运单据（运单）电汇预付比例不超过30%，超过30%时须提供等额预付款保函。</w:t>
            </w:r>
          </w:p>
          <w:p w14:paraId="2261B562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验收指标及验收要求：</w:t>
            </w:r>
            <w:r>
              <w:rPr>
                <w:rFonts w:hint="eastAsia" w:ascii="宋体" w:hAnsi="宋体"/>
                <w:bCs/>
                <w:szCs w:val="21"/>
              </w:rPr>
              <w:t>厂家需对s</w:t>
            </w:r>
            <w:r>
              <w:rPr>
                <w:rFonts w:ascii="宋体" w:hAnsi="宋体"/>
                <w:bCs/>
                <w:szCs w:val="21"/>
              </w:rPr>
              <w:t>CMOS</w:t>
            </w:r>
            <w:r>
              <w:rPr>
                <w:rFonts w:hint="eastAsia" w:ascii="宋体" w:hAnsi="宋体"/>
                <w:bCs/>
                <w:szCs w:val="21"/>
              </w:rPr>
              <w:t>进行出厂测试，满足规格和技术参数给出的要求。</w:t>
            </w:r>
          </w:p>
          <w:p w14:paraId="1978450C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保修</w:t>
            </w:r>
            <w:r>
              <w:rPr>
                <w:rFonts w:ascii="宋体" w:hAnsi="宋体"/>
                <w:b/>
                <w:szCs w:val="21"/>
              </w:rPr>
              <w:t>及售后服务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</w:p>
          <w:p w14:paraId="35FDAC09">
            <w:pPr>
              <w:tabs>
                <w:tab w:val="left" w:pos="6915"/>
              </w:tabs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1. 厂家提供一年的免费保修, 保修期自仪器安装验收之日起计算。如在保修期内，需返厂维修，厂家承担所有费用，且保修期相应顺延。在保修期结束前一个月内，厂家上门进行设备整体检修。</w:t>
            </w:r>
          </w:p>
          <w:p w14:paraId="0F706320">
            <w:pPr>
              <w:tabs>
                <w:tab w:val="left" w:pos="6915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bCs/>
                <w:szCs w:val="21"/>
              </w:rPr>
              <w:t>2. 保修期内的服务由厂家负责，电话报修后 24 小时上门服务、72 小时内排除故障，如有必要尽快派出维修人员到达现场进行服务。</w:t>
            </w:r>
            <w:bookmarkStart w:id="1" w:name="_GoBack"/>
            <w:bookmarkEnd w:id="1"/>
          </w:p>
        </w:tc>
        <w:tc>
          <w:tcPr>
            <w:tcW w:w="1418" w:type="dxa"/>
            <w:vAlign w:val="center"/>
          </w:tcPr>
          <w:p w14:paraId="324B1D27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</w:pPr>
          </w:p>
        </w:tc>
      </w:tr>
    </w:tbl>
    <w:p w14:paraId="6DFFEB29">
      <w:pPr>
        <w:ind w:right="840"/>
        <w:rPr>
          <w:sz w:val="24"/>
        </w:rPr>
      </w:pPr>
    </w:p>
    <w:p w14:paraId="0DED7F3B">
      <w:pPr>
        <w:ind w:right="840" w:firstLine="5040" w:firstLineChars="2100"/>
        <w:rPr>
          <w:sz w:val="24"/>
        </w:rPr>
      </w:pPr>
    </w:p>
    <w:p w14:paraId="6B36AD4F">
      <w:pPr>
        <w:ind w:right="840" w:firstLine="5040" w:firstLineChars="2100"/>
        <w:rPr>
          <w:sz w:val="24"/>
        </w:rPr>
      </w:pPr>
      <w:r>
        <w:rPr>
          <w:sz w:val="24"/>
        </w:rPr>
        <w:t>公司名称</w:t>
      </w:r>
      <w:r>
        <w:rPr>
          <w:rFonts w:hint="eastAsia"/>
          <w:sz w:val="24"/>
        </w:rPr>
        <w:t>（盖章）：</w:t>
      </w:r>
    </w:p>
    <w:p w14:paraId="2BA3965A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日期</w:t>
      </w:r>
      <w:r>
        <w:rPr>
          <w:rFonts w:hint="eastAsia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7"/>
    <w:rsid w:val="000110C4"/>
    <w:rsid w:val="00015CB8"/>
    <w:rsid w:val="00020783"/>
    <w:rsid w:val="00025804"/>
    <w:rsid w:val="00050922"/>
    <w:rsid w:val="00086882"/>
    <w:rsid w:val="00090223"/>
    <w:rsid w:val="00091C8D"/>
    <w:rsid w:val="000E54CE"/>
    <w:rsid w:val="00102C13"/>
    <w:rsid w:val="00123779"/>
    <w:rsid w:val="001501D1"/>
    <w:rsid w:val="001548E0"/>
    <w:rsid w:val="001B219D"/>
    <w:rsid w:val="001D3367"/>
    <w:rsid w:val="002026B2"/>
    <w:rsid w:val="002212AC"/>
    <w:rsid w:val="00261EE1"/>
    <w:rsid w:val="00267E42"/>
    <w:rsid w:val="002D1729"/>
    <w:rsid w:val="002E518A"/>
    <w:rsid w:val="003009AA"/>
    <w:rsid w:val="003438B5"/>
    <w:rsid w:val="00363C73"/>
    <w:rsid w:val="003923FC"/>
    <w:rsid w:val="003C2330"/>
    <w:rsid w:val="003C7C5A"/>
    <w:rsid w:val="004626C3"/>
    <w:rsid w:val="00474B94"/>
    <w:rsid w:val="004973C3"/>
    <w:rsid w:val="004B0D2F"/>
    <w:rsid w:val="00516FB3"/>
    <w:rsid w:val="00547A75"/>
    <w:rsid w:val="00584F75"/>
    <w:rsid w:val="005C4758"/>
    <w:rsid w:val="005C4AA6"/>
    <w:rsid w:val="005E2C0C"/>
    <w:rsid w:val="005F14E0"/>
    <w:rsid w:val="005F7E7B"/>
    <w:rsid w:val="006074C0"/>
    <w:rsid w:val="00630F8F"/>
    <w:rsid w:val="00642CDA"/>
    <w:rsid w:val="00670B3D"/>
    <w:rsid w:val="006C07B4"/>
    <w:rsid w:val="006D67E0"/>
    <w:rsid w:val="00705387"/>
    <w:rsid w:val="00720BC4"/>
    <w:rsid w:val="007230C5"/>
    <w:rsid w:val="00731AE1"/>
    <w:rsid w:val="00744E8E"/>
    <w:rsid w:val="00750961"/>
    <w:rsid w:val="00757D88"/>
    <w:rsid w:val="007A4C29"/>
    <w:rsid w:val="007B2AE3"/>
    <w:rsid w:val="00811B08"/>
    <w:rsid w:val="00825420"/>
    <w:rsid w:val="00832C3E"/>
    <w:rsid w:val="00872767"/>
    <w:rsid w:val="00877DA3"/>
    <w:rsid w:val="00886A2E"/>
    <w:rsid w:val="008A717C"/>
    <w:rsid w:val="008D62B6"/>
    <w:rsid w:val="008E3DB8"/>
    <w:rsid w:val="008F0FFC"/>
    <w:rsid w:val="008F5C2B"/>
    <w:rsid w:val="009149BA"/>
    <w:rsid w:val="00961437"/>
    <w:rsid w:val="00965011"/>
    <w:rsid w:val="00995429"/>
    <w:rsid w:val="00996AC3"/>
    <w:rsid w:val="009B6E26"/>
    <w:rsid w:val="009C3224"/>
    <w:rsid w:val="009C4C31"/>
    <w:rsid w:val="009F0C82"/>
    <w:rsid w:val="009F5C3A"/>
    <w:rsid w:val="00A01094"/>
    <w:rsid w:val="00A11447"/>
    <w:rsid w:val="00A20D98"/>
    <w:rsid w:val="00A27625"/>
    <w:rsid w:val="00A44E8A"/>
    <w:rsid w:val="00A533CA"/>
    <w:rsid w:val="00A8112C"/>
    <w:rsid w:val="00AC1D37"/>
    <w:rsid w:val="00AC67EF"/>
    <w:rsid w:val="00AF7A8B"/>
    <w:rsid w:val="00B04741"/>
    <w:rsid w:val="00B311D0"/>
    <w:rsid w:val="00B64004"/>
    <w:rsid w:val="00B7785A"/>
    <w:rsid w:val="00B90DC2"/>
    <w:rsid w:val="00B971DE"/>
    <w:rsid w:val="00BA1B3F"/>
    <w:rsid w:val="00BC2767"/>
    <w:rsid w:val="00C102A3"/>
    <w:rsid w:val="00C1298E"/>
    <w:rsid w:val="00C26D9F"/>
    <w:rsid w:val="00C442AD"/>
    <w:rsid w:val="00CA3288"/>
    <w:rsid w:val="00CA3E3B"/>
    <w:rsid w:val="00D011DC"/>
    <w:rsid w:val="00D04097"/>
    <w:rsid w:val="00D24D09"/>
    <w:rsid w:val="00D72E1E"/>
    <w:rsid w:val="00D81354"/>
    <w:rsid w:val="00E00131"/>
    <w:rsid w:val="00E147A9"/>
    <w:rsid w:val="00E5012E"/>
    <w:rsid w:val="00E762FD"/>
    <w:rsid w:val="00E930C8"/>
    <w:rsid w:val="00EA412A"/>
    <w:rsid w:val="00EA6BA9"/>
    <w:rsid w:val="00F347F0"/>
    <w:rsid w:val="00F34AE9"/>
    <w:rsid w:val="00F357B0"/>
    <w:rsid w:val="00F43549"/>
    <w:rsid w:val="00F50B62"/>
    <w:rsid w:val="00F70F95"/>
    <w:rsid w:val="00F829DE"/>
    <w:rsid w:val="00F82AA6"/>
    <w:rsid w:val="00F855E3"/>
    <w:rsid w:val="00FC7C08"/>
    <w:rsid w:val="00FE15FA"/>
    <w:rsid w:val="0C7718F8"/>
    <w:rsid w:val="2D070EC5"/>
    <w:rsid w:val="38406F37"/>
    <w:rsid w:val="46BB5348"/>
    <w:rsid w:val="51936088"/>
    <w:rsid w:val="668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tabs>
        <w:tab w:val="left" w:pos="1428"/>
      </w:tabs>
      <w:ind w:firstLine="420" w:firstLineChars="200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434</Words>
  <Characters>486</Characters>
  <Lines>4</Lines>
  <Paragraphs>1</Paragraphs>
  <TotalTime>0</TotalTime>
  <ScaleCrop>false</ScaleCrop>
  <LinksUpToDate>false</LinksUpToDate>
  <CharactersWithSpaces>515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2024-07-15T01:36:00Z</dcterms:created>
  <dc:creator>China</dc:creator>
  <cp:lastModifiedBy>陈文佳</cp:lastModifiedBy>
  <dcterms:modified xsi:type="dcterms:W3CDTF">2026-09-10T02:17:44Z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eyJoZGlkIjoiMzc0OTQ1OWZiNDc3Y2MyZmZmZWIzYzRlODQ4NDE3OTYiLCJ1c2VySWQiOiIxNzc0OTA2Mjk1In0=</vt:lpwstr>
  </property>
  <property fmtid="{D5CDD505-2E9C-101B-9397-08002B2CF9AE}" pid="3" name="KSOProductBuildVer">
    <vt:lpwstr>2052-12.1.0.28043</vt:lpwstr>
  </property>
  <property fmtid="{D5CDD505-2E9C-101B-9397-08002B2CF9AE}" pid="4" name="ICV">
    <vt:lpwstr>20B1B4D6E71F47CB8E65CCEFBC87FC75_12</vt:lpwstr>
  </property>
</Properties>
</file>