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F42D7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71ADF21F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50584A57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20C66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3E29496F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467D466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0B99A1E1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78A9372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529022B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744AE6C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6C24D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5" w:type="dxa"/>
            <w:vAlign w:val="center"/>
          </w:tcPr>
          <w:p w14:paraId="6B5478E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5AF0D">
            <w:pPr>
              <w:widowControl/>
              <w:spacing w:line="240" w:lineRule="atLeast"/>
              <w:jc w:val="center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辐射防护</w:t>
            </w:r>
          </w:p>
          <w:p w14:paraId="17EE00DC">
            <w:pPr>
              <w:widowControl/>
              <w:spacing w:line="240" w:lineRule="atLeas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系统</w:t>
            </w:r>
            <w:bookmarkEnd w:id="0"/>
          </w:p>
        </w:tc>
        <w:tc>
          <w:tcPr>
            <w:tcW w:w="5322" w:type="dxa"/>
            <w:vAlign w:val="center"/>
          </w:tcPr>
          <w:p w14:paraId="597859E4">
            <w:pPr>
              <w:tabs>
                <w:tab w:val="left" w:pos="6915"/>
              </w:tabs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本次采购的辐射防护系统包含4套准直吸收器，其具体规格及技术参数如下。</w:t>
            </w:r>
          </w:p>
          <w:p w14:paraId="4FF22473">
            <w:pPr>
              <w:tabs>
                <w:tab w:val="left" w:pos="6915"/>
              </w:tabs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/>
                <w:bCs/>
                <w:iCs/>
                <w:sz w:val="24"/>
                <w:szCs w:val="24"/>
              </w:rPr>
              <w:t>1、规格</w:t>
            </w:r>
          </w:p>
          <w:p w14:paraId="0D745823">
            <w:pPr>
              <w:tabs>
                <w:tab w:val="left" w:pos="6915"/>
              </w:tabs>
              <w:ind w:firstLine="480" w:firstLineChars="200"/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辐射防护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准直吸收器的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设备参数见表1。</w:t>
            </w:r>
          </w:p>
          <w:p w14:paraId="12AC91FF">
            <w:pPr>
              <w:tabs>
                <w:tab w:val="left" w:pos="6915"/>
              </w:tabs>
              <w:jc w:val="center"/>
              <w:rPr>
                <w:rFonts w:hint="eastAsia" w:ascii="宋体" w:hAnsi="宋体"/>
                <w:bCs/>
                <w:iCs/>
                <w:sz w:val="21"/>
                <w:szCs w:val="21"/>
              </w:rPr>
            </w:pPr>
            <w:r>
              <w:rPr>
                <w:rFonts w:ascii="宋体" w:hAnsi="宋体"/>
                <w:bCs/>
                <w:iCs/>
                <w:sz w:val="21"/>
                <w:szCs w:val="21"/>
              </w:rPr>
              <w:t>表1准直吸收器设备参数</w:t>
            </w:r>
          </w:p>
          <w:tbl>
            <w:tblPr>
              <w:tblStyle w:val="2"/>
              <w:tblpPr w:leftFromText="180" w:rightFromText="180" w:vertAnchor="text" w:horzAnchor="page" w:tblpX="170" w:tblpY="296"/>
              <w:tblOverlap w:val="never"/>
              <w:tblW w:w="5138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37"/>
              <w:gridCol w:w="1100"/>
              <w:gridCol w:w="563"/>
              <w:gridCol w:w="900"/>
              <w:gridCol w:w="774"/>
              <w:gridCol w:w="826"/>
              <w:gridCol w:w="338"/>
            </w:tblGrid>
            <w:tr w14:paraId="2020085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6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504393A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设备名称</w:t>
                  </w:r>
                </w:p>
              </w:tc>
              <w:tc>
                <w:tcPr>
                  <w:tcW w:w="11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3C499F6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准直吸收器尺寸</w:t>
                  </w:r>
                </w:p>
                <w:p w14:paraId="5DC611E7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W×H×L（mm）</w:t>
                  </w:r>
                </w:p>
              </w:tc>
              <w:tc>
                <w:tcPr>
                  <w:tcW w:w="56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A4A6DBC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材料</w:t>
                  </w:r>
                </w:p>
              </w:tc>
              <w:tc>
                <w:tcPr>
                  <w:tcW w:w="90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628140EF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通光</w:t>
                  </w:r>
                  <w:r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管外径</w:t>
                  </w: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（mm）</w:t>
                  </w:r>
                </w:p>
              </w:tc>
              <w:tc>
                <w:tcPr>
                  <w:tcW w:w="774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A74A39C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通光孔中心高度（mm）</w:t>
                  </w:r>
                </w:p>
              </w:tc>
              <w:tc>
                <w:tcPr>
                  <w:tcW w:w="8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553A9162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准直器中心高度（mm）</w:t>
                  </w:r>
                </w:p>
              </w:tc>
              <w:tc>
                <w:tcPr>
                  <w:tcW w:w="3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617F5EDC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支撑结构</w:t>
                  </w:r>
                </w:p>
              </w:tc>
            </w:tr>
            <w:tr w14:paraId="4EC4D2E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0" w:hRule="atLeast"/>
              </w:trPr>
              <w:tc>
                <w:tcPr>
                  <w:tcW w:w="6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827A1B4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准直吸收器P1-1</w:t>
                  </w:r>
                </w:p>
              </w:tc>
              <w:tc>
                <w:tcPr>
                  <w:tcW w:w="11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27D15862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1200×1150×100</w:t>
                  </w:r>
                </w:p>
              </w:tc>
              <w:tc>
                <w:tcPr>
                  <w:tcW w:w="56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/>
                  <w:vAlign w:val="center"/>
                </w:tcPr>
                <w:p w14:paraId="1A01E038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420076D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2</w:t>
                  </w:r>
                  <w:r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0</w:t>
                  </w: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×2</w:t>
                  </w:r>
                  <w:r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0</w:t>
                  </w:r>
                </w:p>
              </w:tc>
              <w:tc>
                <w:tcPr>
                  <w:tcW w:w="77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F5A13D8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1400</w:t>
                  </w:r>
                </w:p>
              </w:tc>
              <w:tc>
                <w:tcPr>
                  <w:tcW w:w="826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9FB2250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1375</w:t>
                  </w:r>
                </w:p>
              </w:tc>
              <w:tc>
                <w:tcPr>
                  <w:tcW w:w="3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3D2F327E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支架</w:t>
                  </w:r>
                </w:p>
              </w:tc>
            </w:tr>
            <w:tr w14:paraId="4BE1C55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6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C1B4174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准直吸收器P1-2</w:t>
                  </w:r>
                </w:p>
              </w:tc>
              <w:tc>
                <w:tcPr>
                  <w:tcW w:w="11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2FBCB87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300×300×60</w:t>
                  </w:r>
                </w:p>
              </w:tc>
              <w:tc>
                <w:tcPr>
                  <w:tcW w:w="56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/>
                  <w:vAlign w:val="center"/>
                </w:tcPr>
                <w:p w14:paraId="4BCD6EB2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96C174C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2</w:t>
                  </w:r>
                  <w:r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0</w:t>
                  </w: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×2</w:t>
                  </w:r>
                  <w:r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0</w:t>
                  </w:r>
                </w:p>
              </w:tc>
              <w:tc>
                <w:tcPr>
                  <w:tcW w:w="77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330CA93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1400</w:t>
                  </w:r>
                </w:p>
              </w:tc>
              <w:tc>
                <w:tcPr>
                  <w:tcW w:w="826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50B4F79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1400</w:t>
                  </w:r>
                </w:p>
              </w:tc>
              <w:tc>
                <w:tcPr>
                  <w:tcW w:w="3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1E1BAE7B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支架</w:t>
                  </w:r>
                </w:p>
              </w:tc>
            </w:tr>
            <w:tr w14:paraId="2664DE5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6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34A923E2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准直吸收器P2</w:t>
                  </w:r>
                </w:p>
              </w:tc>
              <w:tc>
                <w:tcPr>
                  <w:tcW w:w="11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34E1C663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400×400×80</w:t>
                  </w:r>
                </w:p>
              </w:tc>
              <w:tc>
                <w:tcPr>
                  <w:tcW w:w="56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47C7FDF5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00169BAB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2</w:t>
                  </w:r>
                  <w:r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5</w:t>
                  </w: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×2</w:t>
                  </w:r>
                  <w:r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5</w:t>
                  </w:r>
                </w:p>
              </w:tc>
              <w:tc>
                <w:tcPr>
                  <w:tcW w:w="774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vAlign w:val="center"/>
                </w:tcPr>
                <w:p w14:paraId="0A337CDE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1400</w:t>
                  </w:r>
                </w:p>
              </w:tc>
              <w:tc>
                <w:tcPr>
                  <w:tcW w:w="8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7E03EE0E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1400</w:t>
                  </w:r>
                </w:p>
              </w:tc>
              <w:tc>
                <w:tcPr>
                  <w:tcW w:w="3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vAlign w:val="center"/>
                </w:tcPr>
                <w:p w14:paraId="5E654F6F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支架</w:t>
                  </w:r>
                </w:p>
              </w:tc>
            </w:tr>
            <w:tr w14:paraId="6F5A2DE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6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7D1B2D9A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准直吸收器P3</w:t>
                  </w:r>
                </w:p>
              </w:tc>
              <w:tc>
                <w:tcPr>
                  <w:tcW w:w="11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0DAA4937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800×800×150</w:t>
                  </w:r>
                </w:p>
              </w:tc>
              <w:tc>
                <w:tcPr>
                  <w:tcW w:w="56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38531052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9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14163356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3</w:t>
                  </w:r>
                  <w:r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0</w:t>
                  </w: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×3</w:t>
                  </w:r>
                  <w:r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0</w:t>
                  </w:r>
                </w:p>
              </w:tc>
              <w:tc>
                <w:tcPr>
                  <w:tcW w:w="77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vAlign w:val="center"/>
                </w:tcPr>
                <w:p w14:paraId="475C1BC9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1369</w:t>
                  </w:r>
                </w:p>
              </w:tc>
              <w:tc>
                <w:tcPr>
                  <w:tcW w:w="8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noWrap/>
                  <w:vAlign w:val="center"/>
                </w:tcPr>
                <w:p w14:paraId="40AEBAE3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1400</w:t>
                  </w:r>
                </w:p>
              </w:tc>
              <w:tc>
                <w:tcPr>
                  <w:tcW w:w="3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 w:themeFill="background1"/>
                  <w:vAlign w:val="center"/>
                </w:tcPr>
                <w:p w14:paraId="2841F938">
                  <w:pPr>
                    <w:widowControl/>
                    <w:jc w:val="center"/>
                    <w:textAlignment w:val="center"/>
                    <w:rPr>
                      <w:rFonts w:hint="eastAsia"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</w:pPr>
                  <w:r>
                    <w:rPr>
                      <w:rFonts w:ascii="宋体" w:hAnsi="宋体"/>
                      <w:color w:val="000000"/>
                      <w:kern w:val="0"/>
                      <w:sz w:val="21"/>
                      <w:szCs w:val="21"/>
                      <w:lang w:bidi="ar"/>
                    </w:rPr>
                    <w:t>支架</w:t>
                  </w:r>
                </w:p>
              </w:tc>
            </w:tr>
          </w:tbl>
          <w:p w14:paraId="4BCB7996">
            <w:pPr>
              <w:tabs>
                <w:tab w:val="left" w:pos="6915"/>
              </w:tabs>
              <w:rPr>
                <w:rFonts w:ascii="宋体" w:hAnsi="宋体"/>
                <w:bCs/>
                <w:iCs/>
                <w:sz w:val="24"/>
                <w:szCs w:val="24"/>
              </w:rPr>
            </w:pPr>
          </w:p>
          <w:p w14:paraId="176D41E5">
            <w:pPr>
              <w:tabs>
                <w:tab w:val="left" w:pos="6915"/>
              </w:tabs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/>
                <w:bCs/>
                <w:iCs/>
                <w:sz w:val="24"/>
                <w:szCs w:val="24"/>
              </w:rPr>
              <w:t>2、技术要求</w:t>
            </w:r>
          </w:p>
          <w:p w14:paraId="3FA47E80">
            <w:pPr>
              <w:widowControl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iCs/>
                <w:sz w:val="24"/>
                <w:szCs w:val="24"/>
              </w:rPr>
              <w:t>（1）没有通缝，整体尺寸公差0</w:t>
            </w:r>
            <w:r>
              <w:rPr>
                <w:bCs/>
                <w:iCs/>
                <w:sz w:val="24"/>
                <w:szCs w:val="24"/>
              </w:rPr>
              <w:t>~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5mm。铅密度</w:t>
            </w:r>
            <w:r>
              <w:rPr>
                <w:rStyle w:val="6"/>
                <w:rFonts w:ascii="宋体" w:hAnsi="宋体"/>
                <w:sz w:val="24"/>
                <w:szCs w:val="24"/>
              </w:rPr>
              <w:t>≥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11.25g/cm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，铅中锑含量2%，铅和锑总质量分数</w:t>
            </w:r>
            <w:r>
              <w:rPr>
                <w:rStyle w:val="6"/>
                <w:rFonts w:ascii="宋体" w:hAnsi="宋体"/>
                <w:sz w:val="24"/>
                <w:szCs w:val="24"/>
              </w:rPr>
              <w:t>≥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99.5%。</w:t>
            </w:r>
          </w:p>
          <w:p w14:paraId="08953762">
            <w:pPr>
              <w:widowControl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（2）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准直吸收器需要外壳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，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材料使用不锈钢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，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厚度</w:t>
            </w:r>
            <w:r>
              <w:rPr>
                <w:rStyle w:val="6"/>
                <w:rFonts w:ascii="宋体" w:hAnsi="宋体"/>
                <w:sz w:val="24"/>
                <w:szCs w:val="24"/>
              </w:rPr>
              <w:t>≥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2mm， 颜色待定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。</w:t>
            </w:r>
          </w:p>
          <w:p w14:paraId="36C657DB">
            <w:pPr>
              <w:widowControl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3）辐射防护设备支架：具备四维（升降（Z），左右平移（X），俯仰角（pitch）和偏摆角（yaw））的姿态调节能力。支架主体使用碳钢，准直吸收器支撑板使用不锈钢。厂家需依据实际情况深化设计、加工、安装。图1仅供参考。</w:t>
            </w:r>
          </w:p>
          <w:p w14:paraId="088E60DA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drawing>
                <wp:inline distT="0" distB="0" distL="0" distR="0">
                  <wp:extent cx="2148205" cy="1341120"/>
                  <wp:effectExtent l="0" t="0" r="4445" b="11430"/>
                  <wp:docPr id="1132421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42114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234" cy="1346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5315D1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图1 支架示意图</w:t>
            </w:r>
          </w:p>
          <w:p w14:paraId="3A503019">
            <w:pPr>
              <w:widowControl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（4）</w:t>
            </w:r>
            <w:r>
              <w:rPr>
                <w:rStyle w:val="6"/>
                <w:rFonts w:ascii="宋体" w:hAnsi="宋体"/>
                <w:sz w:val="24"/>
                <w:szCs w:val="24"/>
              </w:rPr>
              <w:t>辐射防护设备安装完成后</w:t>
            </w:r>
            <w:r>
              <w:rPr>
                <w:rStyle w:val="6"/>
                <w:rFonts w:hint="eastAsia" w:ascii="宋体" w:hAnsi="宋体"/>
                <w:sz w:val="24"/>
                <w:szCs w:val="24"/>
              </w:rPr>
              <w:t>，</w:t>
            </w:r>
            <w:r>
              <w:rPr>
                <w:rStyle w:val="6"/>
                <w:rFonts w:ascii="宋体" w:hAnsi="宋体"/>
                <w:sz w:val="24"/>
                <w:szCs w:val="24"/>
              </w:rPr>
              <w:t>需满足通光孔尺寸与光束线通光管道的缝隙≤2mm。</w:t>
            </w:r>
          </w:p>
        </w:tc>
        <w:tc>
          <w:tcPr>
            <w:tcW w:w="1201" w:type="dxa"/>
            <w:vAlign w:val="center"/>
          </w:tcPr>
          <w:p w14:paraId="3494B2B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AB5E24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1B7F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1FB5921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7ED25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309D0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合同签订之日起3个月内货到采购人现场</w:t>
            </w:r>
          </w:p>
          <w:p w14:paraId="065B7F22">
            <w:pPr>
              <w:tabs>
                <w:tab w:val="left" w:pos="6915"/>
              </w:tabs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合同签订之日起3个月内货到采购人现场，接到采购人通知后1个月内完成设备安装、调试，并通过验收。</w:t>
            </w:r>
          </w:p>
          <w:p w14:paraId="5B719D26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合同签订后预付合同总金额的30%。合同执行完成并验收合格，且收到供应商提供的全额发票，付清尾款。</w:t>
            </w:r>
          </w:p>
          <w:p w14:paraId="284CCBC1"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</w:p>
          <w:p w14:paraId="57A7FEB7">
            <w:pPr>
              <w:pStyle w:val="5"/>
              <w:numPr>
                <w:ilvl w:val="0"/>
                <w:numId w:val="0"/>
              </w:numPr>
              <w:tabs>
                <w:tab w:val="left" w:pos="6915"/>
              </w:tabs>
              <w:ind w:leftChars="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出厂检验和测试记录报告。</w:t>
            </w:r>
          </w:p>
          <w:p w14:paraId="5E96DE45">
            <w:pPr>
              <w:pStyle w:val="5"/>
              <w:numPr>
                <w:ilvl w:val="0"/>
                <w:numId w:val="0"/>
              </w:numPr>
              <w:tabs>
                <w:tab w:val="left" w:pos="6915"/>
              </w:tabs>
              <w:ind w:leftChars="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提供屏蔽材料的证明文件：含铅、不锈钢密度、成分证明材料。按要求完成现场安装任务，并保证支撑结构的承重，调节机构的精度。</w:t>
            </w:r>
          </w:p>
          <w:p w14:paraId="3C87312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ascii="宋体" w:hAnsi="宋体"/>
                <w:bCs/>
                <w:sz w:val="24"/>
                <w:szCs w:val="24"/>
              </w:rPr>
              <w:t>保修期不少于一年，起始时间以全部设备通过最终验收之日起开始计算。在保修期内，非采购人人为原因引起的设备故障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，</w:t>
            </w:r>
            <w:r>
              <w:rPr>
                <w:rFonts w:ascii="宋体" w:hAnsi="宋体"/>
                <w:bCs/>
                <w:sz w:val="24"/>
                <w:szCs w:val="24"/>
              </w:rPr>
              <w:t>供应商负责免费维修和免费更换零部件。供应商应于接到采购人维修通知后24小时内(法定假期除外)进行响应，需要抵达现场进行维修的，供应商应在两个工作日内抵达现场，并应在合理的时间内完成维修。</w:t>
            </w:r>
          </w:p>
        </w:tc>
        <w:tc>
          <w:tcPr>
            <w:tcW w:w="1201" w:type="dxa"/>
            <w:vAlign w:val="center"/>
          </w:tcPr>
          <w:p w14:paraId="5D3E4FB5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43744E8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09E50913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7B03329C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77E7A2D5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59B4DDFD"/>
    <w:p w14:paraId="4D0C580A"/>
    <w:p w14:paraId="333664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E3467"/>
    <w:rsid w:val="177F687B"/>
    <w:rsid w:val="4C0E3467"/>
    <w:rsid w:val="7A59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700</Words>
  <Characters>755</Characters>
  <Lines>0</Lines>
  <Paragraphs>0</Paragraphs>
  <TotalTime>3</TotalTime>
  <ScaleCrop>false</ScaleCrop>
  <LinksUpToDate>false</LinksUpToDate>
  <CharactersWithSpaces>757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2026-06-12T02:24:00Z</dcterms:created>
  <dc:creator>DELL</dc:creator>
  <cp:lastModifiedBy>王小宇</cp:lastModifiedBy>
  <dcterms:modified xsi:type="dcterms:W3CDTF">2026-07-06T09:31:42Z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0E95398D238A4074848194AA16AB9A32_13</vt:lpwstr>
  </property>
  <property fmtid="{D5CDD505-2E9C-101B-9397-08002B2CF9AE}" pid="4" name="KSOTemplateDocerSaveRecord">
    <vt:lpwstr>eyJoZGlkIjoiN2RmNGQ2MDc0ZGFiNmIyNjNmMmJiNzcxMzg1OWQzY2YifQ==</vt:lpwstr>
  </property>
</Properties>
</file>