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725"/>
        <w:gridCol w:w="6138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508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725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6138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3" w:hRule="atLeast"/>
        </w:trPr>
        <w:tc>
          <w:tcPr>
            <w:tcW w:w="508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线缆及配件</w:t>
            </w:r>
          </w:p>
        </w:tc>
        <w:tc>
          <w:tcPr>
            <w:tcW w:w="61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pPr w:leftFromText="180" w:rightFromText="180" w:vertAnchor="text" w:horzAnchor="page" w:tblpX="218" w:tblpY="434"/>
              <w:tblOverlap w:val="never"/>
              <w:tblW w:w="556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50"/>
              <w:gridCol w:w="737"/>
              <w:gridCol w:w="3538"/>
              <w:gridCol w:w="737"/>
            </w:tblGrid>
            <w:tr w14:paraId="0BA671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44A24D86">
                  <w:pPr>
                    <w:tabs>
                      <w:tab w:val="left" w:pos="6915"/>
                    </w:tabs>
                    <w:jc w:val="center"/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</w:pPr>
                  <w:bookmarkStart w:id="0" w:name="_GoBack"/>
                  <w:bookmarkEnd w:id="0"/>
                  <w:r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48577735">
                  <w:pPr>
                    <w:tabs>
                      <w:tab w:val="left" w:pos="6915"/>
                    </w:tabs>
                    <w:jc w:val="center"/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  <w:t>名称</w:t>
                  </w:r>
                </w:p>
              </w:tc>
              <w:tc>
                <w:tcPr>
                  <w:tcW w:w="3538" w:type="dxa"/>
                  <w:vAlign w:val="center"/>
                </w:tcPr>
                <w:p w14:paraId="2006F059">
                  <w:pPr>
                    <w:tabs>
                      <w:tab w:val="left" w:pos="6915"/>
                    </w:tabs>
                    <w:jc w:val="center"/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  <w:t>技术要求</w:t>
                  </w:r>
                </w:p>
              </w:tc>
              <w:tc>
                <w:tcPr>
                  <w:tcW w:w="737" w:type="dxa"/>
                  <w:vAlign w:val="center"/>
                </w:tcPr>
                <w:p w14:paraId="23534DAE">
                  <w:pPr>
                    <w:tabs>
                      <w:tab w:val="left" w:pos="6915"/>
                    </w:tabs>
                    <w:jc w:val="center"/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0"/>
                    </w:rPr>
                    <w:t>数量</w:t>
                  </w:r>
                </w:p>
              </w:tc>
            </w:tr>
            <w:tr w14:paraId="7B4AC1A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74FF7381">
                  <w:pPr>
                    <w:tabs>
                      <w:tab w:val="left" w:pos="6915"/>
                    </w:tabs>
                    <w:jc w:val="center"/>
                    <w:rPr>
                      <w:rFonts w:ascii="宋体" w:hAnsi="宋体" w:cs="宋体"/>
                      <w:bCs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sz w:val="24"/>
                    </w:rPr>
                    <w:t>1</w:t>
                  </w:r>
                </w:p>
              </w:tc>
              <w:tc>
                <w:tcPr>
                  <w:tcW w:w="737" w:type="dxa"/>
                  <w:vAlign w:val="center"/>
                </w:tcPr>
                <w:p w14:paraId="39AF1D1A">
                  <w:pPr>
                    <w:tabs>
                      <w:tab w:val="left" w:pos="6915"/>
                    </w:tabs>
                    <w:jc w:val="center"/>
                    <w:rPr>
                      <w:rFonts w:ascii="宋体" w:hAnsi="宋体" w:cs="宋体"/>
                      <w:bCs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六类网线</w:t>
                  </w:r>
                </w:p>
              </w:tc>
              <w:tc>
                <w:tcPr>
                  <w:tcW w:w="3538" w:type="dxa"/>
                  <w:vAlign w:val="center"/>
                </w:tcPr>
                <w:p w14:paraId="0B1B13C8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六类非屏蔽双绞线，符合ANSI/TIA-568、ISO/IEC 11801、YD/T 926.3、YD/T 1019标准；</w:t>
                  </w:r>
                </w:p>
                <w:p w14:paraId="2D30C9D4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线缆具备CCC认证；</w:t>
                  </w:r>
                </w:p>
                <w:p w14:paraId="4224518A">
                  <w:pPr>
                    <w:tabs>
                      <w:tab w:val="left" w:pos="6915"/>
                    </w:tabs>
                    <w:jc w:val="left"/>
                    <w:rPr>
                      <w:rFonts w:ascii="宋体" w:hAnsi="宋体" w:cs="宋体"/>
                      <w:bCs/>
                      <w:sz w:val="24"/>
                    </w:rPr>
                  </w:pPr>
                  <w:r>
                    <w:rPr>
                      <w:rFonts w:hint="eastAsia" w:ascii="仿宋" w:hAnsi="仿宋" w:eastAsia="仿宋"/>
                    </w:rPr>
                    <w:t>配备网线水晶头4</w:t>
                  </w:r>
                  <w:r>
                    <w:rPr>
                      <w:rFonts w:ascii="仿宋" w:hAnsi="仿宋" w:eastAsia="仿宋"/>
                    </w:rPr>
                    <w:t>000</w:t>
                  </w:r>
                  <w:r>
                    <w:rPr>
                      <w:rFonts w:hint="eastAsia" w:ascii="仿宋" w:hAnsi="仿宋" w:eastAsia="仿宋"/>
                    </w:rPr>
                    <w:t>个；</w:t>
                  </w:r>
                </w:p>
              </w:tc>
              <w:tc>
                <w:tcPr>
                  <w:tcW w:w="737" w:type="dxa"/>
                  <w:vAlign w:val="center"/>
                </w:tcPr>
                <w:p w14:paraId="63FA6F96">
                  <w:pPr>
                    <w:tabs>
                      <w:tab w:val="left" w:pos="6915"/>
                    </w:tabs>
                    <w:jc w:val="left"/>
                    <w:rPr>
                      <w:rFonts w:ascii="宋体" w:hAnsi="宋体" w:cs="宋体"/>
                      <w:bCs/>
                      <w:sz w:val="24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20000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</w:t>
                  </w:r>
                </w:p>
              </w:tc>
            </w:tr>
            <w:tr w14:paraId="54D7F2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2F381FCC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bCs/>
                      <w:sz w:val="24"/>
                    </w:rPr>
                    <w:t>2</w:t>
                  </w:r>
                </w:p>
              </w:tc>
              <w:tc>
                <w:tcPr>
                  <w:tcW w:w="737" w:type="dxa"/>
                  <w:vAlign w:val="center"/>
                </w:tcPr>
                <w:p w14:paraId="01C200C8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成品网线</w:t>
                  </w:r>
                </w:p>
              </w:tc>
              <w:tc>
                <w:tcPr>
                  <w:tcW w:w="3538" w:type="dxa"/>
                  <w:vAlign w:val="center"/>
                </w:tcPr>
                <w:p w14:paraId="5C2A063D">
                  <w:pPr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六类非屏蔽双绞线跳线，符合</w:t>
                  </w:r>
                  <w:r>
                    <w:rPr>
                      <w:rFonts w:hint="eastAsia" w:ascii="仿宋" w:hAnsi="仿宋" w:eastAsia="仿宋"/>
                    </w:rPr>
                    <w:t>ANSI/TIA-56</w:t>
                  </w:r>
                  <w:r>
                    <w:rPr>
                      <w:rFonts w:ascii="仿宋" w:hAnsi="仿宋" w:eastAsia="仿宋"/>
                    </w:rPr>
                    <w:t>8</w:t>
                  </w:r>
                  <w:r>
                    <w:rPr>
                      <w:rFonts w:hint="eastAsia" w:ascii="仿宋" w:hAnsi="仿宋" w:eastAsia="仿宋"/>
                    </w:rPr>
                    <w:t>标准，跳线具有注塑式尾套，防松脱，确保电缆和插头的可靠性和链接稳定性，尺寸规格：</w:t>
                  </w:r>
                </w:p>
                <w:p w14:paraId="573AE2C8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1米网线，1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451801A7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2米网线，1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3B6E8361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3米网线，1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5B891AB5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5米网线，1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379BBBF5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7米网线，1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5545DD97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米网线，1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02119219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2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米网线，3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318A6271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3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米网线，3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</w:tc>
              <w:tc>
                <w:tcPr>
                  <w:tcW w:w="737" w:type="dxa"/>
                  <w:vAlign w:val="center"/>
                </w:tcPr>
                <w:p w14:paraId="1E0EB855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一批</w:t>
                  </w:r>
                </w:p>
              </w:tc>
            </w:tr>
            <w:tr w14:paraId="360B8D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5EDD8302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3</w:t>
                  </w:r>
                </w:p>
              </w:tc>
              <w:tc>
                <w:tcPr>
                  <w:tcW w:w="737" w:type="dxa"/>
                  <w:vAlign w:val="center"/>
                </w:tcPr>
                <w:p w14:paraId="6FDE7156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动力线缆 RVV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 xml:space="preserve"> 3*6mm</w:t>
                  </w:r>
                  <w:r>
                    <w:rPr>
                      <w:rFonts w:ascii="仿宋" w:hAnsi="仿宋" w:eastAsia="仿宋" w:cs="仿宋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3538" w:type="dxa"/>
                  <w:vAlign w:val="center"/>
                </w:tcPr>
                <w:p w14:paraId="2E821E7D">
                  <w:pPr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 xml:space="preserve">符合JB/T 8734.3、GB/T </w:t>
                  </w:r>
                  <w:r>
                    <w:rPr>
                      <w:rFonts w:ascii="仿宋" w:hAnsi="仿宋" w:eastAsia="仿宋"/>
                    </w:rPr>
                    <w:t>3956-2008</w:t>
                  </w:r>
                  <w:r>
                    <w:rPr>
                      <w:rFonts w:hint="eastAsia" w:ascii="仿宋" w:hAnsi="仿宋" w:eastAsia="仿宋"/>
                    </w:rPr>
                    <w:t>标准，</w:t>
                  </w:r>
                </w:p>
                <w:p w14:paraId="5225BFD6">
                  <w:pPr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导体无氧铜，绝缘采用PVC聚氯乙烯，20℃直流电阻：≤3.3 Ω/km，绝缘厚度：0.8mm</w:t>
                  </w:r>
                </w:p>
                <w:p w14:paraId="655FC9A2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线缆具备CCC认证；</w:t>
                  </w:r>
                </w:p>
              </w:tc>
              <w:tc>
                <w:tcPr>
                  <w:tcW w:w="737" w:type="dxa"/>
                  <w:vAlign w:val="center"/>
                </w:tcPr>
                <w:p w14:paraId="68ABB45A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8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</w:t>
                  </w:r>
                </w:p>
              </w:tc>
            </w:tr>
            <w:tr w14:paraId="53E9EC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1B5A7E1A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4</w:t>
                  </w:r>
                </w:p>
              </w:tc>
              <w:tc>
                <w:tcPr>
                  <w:tcW w:w="737" w:type="dxa"/>
                  <w:vAlign w:val="center"/>
                </w:tcPr>
                <w:p w14:paraId="6A550B9D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动力线缆 RVV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 xml:space="preserve"> 3*4mm</w:t>
                  </w:r>
                  <w:r>
                    <w:rPr>
                      <w:rFonts w:ascii="仿宋" w:hAnsi="仿宋" w:eastAsia="仿宋" w:cs="仿宋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3538" w:type="dxa"/>
                  <w:vAlign w:val="center"/>
                </w:tcPr>
                <w:p w14:paraId="257175B9">
                  <w:pPr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 xml:space="preserve">符合JB/T 8734.3、GB/T </w:t>
                  </w:r>
                  <w:r>
                    <w:rPr>
                      <w:rFonts w:ascii="仿宋" w:hAnsi="仿宋" w:eastAsia="仿宋"/>
                    </w:rPr>
                    <w:t>3956-2008</w:t>
                  </w:r>
                  <w:r>
                    <w:rPr>
                      <w:rFonts w:hint="eastAsia" w:ascii="仿宋" w:hAnsi="仿宋" w:eastAsia="仿宋"/>
                    </w:rPr>
                    <w:t>标准，</w:t>
                  </w:r>
                </w:p>
                <w:p w14:paraId="56F1E96C">
                  <w:pPr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导体无氧铜，绝缘采用PVC聚氯乙烯，20℃直流电阻：≤4.95 Ω/km，绝缘厚度：0.8mm</w:t>
                  </w:r>
                </w:p>
                <w:p w14:paraId="18C18509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线缆具备CCC认证；</w:t>
                  </w:r>
                </w:p>
              </w:tc>
              <w:tc>
                <w:tcPr>
                  <w:tcW w:w="737" w:type="dxa"/>
                  <w:vAlign w:val="center"/>
                </w:tcPr>
                <w:p w14:paraId="1DF292E7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2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</w:t>
                  </w:r>
                </w:p>
              </w:tc>
            </w:tr>
            <w:tr w14:paraId="5CFD34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142AEF6D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5</w:t>
                  </w:r>
                </w:p>
              </w:tc>
              <w:tc>
                <w:tcPr>
                  <w:tcW w:w="737" w:type="dxa"/>
                  <w:vAlign w:val="center"/>
                </w:tcPr>
                <w:p w14:paraId="2B2682E8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动力线缆 RVV</w:t>
                  </w:r>
                </w:p>
                <w:p w14:paraId="05BFACFB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1*240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mm</w:t>
                  </w:r>
                  <w:r>
                    <w:rPr>
                      <w:rFonts w:ascii="仿宋" w:hAnsi="仿宋" w:eastAsia="仿宋" w:cs="仿宋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3538" w:type="dxa"/>
                  <w:vAlign w:val="center"/>
                </w:tcPr>
                <w:p w14:paraId="0FFA8995">
                  <w:pPr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 xml:space="preserve">符合JB/T 8734.3、GB/T </w:t>
                  </w:r>
                  <w:r>
                    <w:rPr>
                      <w:rFonts w:ascii="仿宋" w:hAnsi="仿宋" w:eastAsia="仿宋"/>
                    </w:rPr>
                    <w:t>3956-2008</w:t>
                  </w:r>
                  <w:r>
                    <w:rPr>
                      <w:rFonts w:hint="eastAsia" w:ascii="仿宋" w:hAnsi="仿宋" w:eastAsia="仿宋"/>
                    </w:rPr>
                    <w:t>标准，</w:t>
                  </w:r>
                </w:p>
                <w:p w14:paraId="3DFEE5FD">
                  <w:pPr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导体无氧铜，绝缘采用PVC聚氯乙烯，20℃直流电阻：≤0</w:t>
                  </w:r>
                  <w:r>
                    <w:rPr>
                      <w:rFonts w:ascii="仿宋" w:hAnsi="仿宋" w:eastAsia="仿宋"/>
                    </w:rPr>
                    <w:t>.0801</w:t>
                  </w:r>
                  <w:r>
                    <w:rPr>
                      <w:rFonts w:hint="eastAsia" w:ascii="仿宋" w:hAnsi="仿宋" w:eastAsia="仿宋"/>
                    </w:rPr>
                    <w:t xml:space="preserve"> Ω/km，绝缘厚度：2</w:t>
                  </w:r>
                  <w:r>
                    <w:rPr>
                      <w:rFonts w:ascii="仿宋" w:hAnsi="仿宋" w:eastAsia="仿宋"/>
                    </w:rPr>
                    <w:t>.2</w:t>
                  </w:r>
                  <w:r>
                    <w:rPr>
                      <w:rFonts w:hint="eastAsia" w:ascii="仿宋" w:hAnsi="仿宋" w:eastAsia="仿宋"/>
                    </w:rPr>
                    <w:t>mml</w:t>
                  </w:r>
                </w:p>
              </w:tc>
              <w:tc>
                <w:tcPr>
                  <w:tcW w:w="737" w:type="dxa"/>
                  <w:vAlign w:val="center"/>
                </w:tcPr>
                <w:p w14:paraId="48F10651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2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</w:t>
                  </w:r>
                </w:p>
              </w:tc>
            </w:tr>
            <w:tr w14:paraId="619621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1B5F7426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6</w:t>
                  </w:r>
                </w:p>
              </w:tc>
              <w:tc>
                <w:tcPr>
                  <w:tcW w:w="737" w:type="dxa"/>
                  <w:vAlign w:val="center"/>
                </w:tcPr>
                <w:p w14:paraId="18CE3675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接地线缆 RV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 xml:space="preserve"> 25mm</w:t>
                  </w:r>
                  <w:r>
                    <w:rPr>
                      <w:rFonts w:ascii="仿宋" w:hAnsi="仿宋" w:eastAsia="仿宋" w:cs="仿宋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3538" w:type="dxa"/>
                  <w:vAlign w:val="center"/>
                </w:tcPr>
                <w:p w14:paraId="358871C3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符合GB/T 5023.3-2008或GB 50343-2012，黄绿双色专用地线；</w:t>
                  </w:r>
                </w:p>
                <w:p w14:paraId="7BE84C1D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导体为无氧铜，20℃直流电阻：≤0.78 Ω/km；</w:t>
                  </w:r>
                </w:p>
                <w:p w14:paraId="718C687C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线缆具备CCC认证；</w:t>
                  </w:r>
                </w:p>
                <w:p w14:paraId="064896C8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配备铜鼻子1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8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0个；</w:t>
                  </w:r>
                </w:p>
              </w:tc>
              <w:tc>
                <w:tcPr>
                  <w:tcW w:w="737" w:type="dxa"/>
                  <w:vAlign w:val="center"/>
                </w:tcPr>
                <w:p w14:paraId="6842875C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2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</w:t>
                  </w:r>
                </w:p>
              </w:tc>
            </w:tr>
            <w:tr w14:paraId="77595B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13E2E0FF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7</w:t>
                  </w:r>
                </w:p>
              </w:tc>
              <w:tc>
                <w:tcPr>
                  <w:tcW w:w="737" w:type="dxa"/>
                  <w:vAlign w:val="center"/>
                </w:tcPr>
                <w:p w14:paraId="4FD68EB5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接地线缆 RV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 xml:space="preserve"> 6mm</w:t>
                  </w:r>
                  <w:r>
                    <w:rPr>
                      <w:rFonts w:ascii="仿宋" w:hAnsi="仿宋" w:eastAsia="仿宋" w:cs="仿宋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3538" w:type="dxa"/>
                  <w:vAlign w:val="center"/>
                </w:tcPr>
                <w:p w14:paraId="6D221C08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符合GB/T 5023.3-2008或GB 50343-2012，黄绿双色专用地线；</w:t>
                  </w:r>
                </w:p>
                <w:p w14:paraId="5F1C0145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导体为无氧铜，20℃直流电阻：≤3.3 Ω/km；</w:t>
                  </w:r>
                </w:p>
                <w:p w14:paraId="3CCD161B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线缆具备CCC认证；</w:t>
                  </w:r>
                </w:p>
                <w:p w14:paraId="62B9EA56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配备铜鼻子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个；</w:t>
                  </w:r>
                </w:p>
              </w:tc>
              <w:tc>
                <w:tcPr>
                  <w:tcW w:w="737" w:type="dxa"/>
                  <w:vAlign w:val="center"/>
                </w:tcPr>
                <w:p w14:paraId="42E0A62E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5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</w:t>
                  </w:r>
                </w:p>
              </w:tc>
            </w:tr>
            <w:tr w14:paraId="653A89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0A86C7AF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8</w:t>
                  </w:r>
                </w:p>
              </w:tc>
              <w:tc>
                <w:tcPr>
                  <w:tcW w:w="737" w:type="dxa"/>
                  <w:vAlign w:val="center"/>
                </w:tcPr>
                <w:p w14:paraId="153842F4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成品光纤</w:t>
                  </w:r>
                </w:p>
              </w:tc>
              <w:tc>
                <w:tcPr>
                  <w:tcW w:w="3538" w:type="dxa"/>
                  <w:vAlign w:val="center"/>
                </w:tcPr>
                <w:p w14:paraId="0A544CAD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OM4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多模4芯光纤跳线，ST-ST接口，陶瓷插芯；</w:t>
                  </w:r>
                </w:p>
                <w:p w14:paraId="277E5E81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护套采用高柔性材料,经IEC 60793-2-10:2022 抗弯测试,抗弯耐久；</w:t>
                  </w:r>
                </w:p>
                <w:p w14:paraId="4DEEF855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机械耐久性插拔可达500次；插入损耗≤0.2dB,回波损耗≥50dB；</w:t>
                  </w:r>
                </w:p>
                <w:p w14:paraId="4C350F42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尺寸规格：</w:t>
                  </w:r>
                </w:p>
                <w:p w14:paraId="647D1C67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8米光纤跳线，2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60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70AA56A2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10米光纤跳线，4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2F5E93E9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12米光纤跳线，2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30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55C46A63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米光纤跳线，1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10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4525401B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8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米光纤跳线，1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80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  <w:p w14:paraId="3B549CC3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20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米光纤跳线，1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</w:tc>
              <w:tc>
                <w:tcPr>
                  <w:tcW w:w="737" w:type="dxa"/>
                  <w:vAlign w:val="center"/>
                </w:tcPr>
                <w:p w14:paraId="019F9166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一批</w:t>
                  </w:r>
                </w:p>
              </w:tc>
            </w:tr>
            <w:tr w14:paraId="64A5A2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7C7E2D30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9</w:t>
                  </w:r>
                </w:p>
              </w:tc>
              <w:tc>
                <w:tcPr>
                  <w:tcW w:w="737" w:type="dxa"/>
                  <w:vAlign w:val="center"/>
                </w:tcPr>
                <w:p w14:paraId="22625E38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U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SB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延长线</w:t>
                  </w:r>
                </w:p>
              </w:tc>
              <w:tc>
                <w:tcPr>
                  <w:tcW w:w="3538" w:type="dxa"/>
                  <w:vAlign w:val="center"/>
                </w:tcPr>
                <w:p w14:paraId="2FAAB70B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U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SB3.0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延长线，3米，公对母接口。</w:t>
                  </w:r>
                </w:p>
              </w:tc>
              <w:tc>
                <w:tcPr>
                  <w:tcW w:w="737" w:type="dxa"/>
                  <w:vAlign w:val="center"/>
                </w:tcPr>
                <w:p w14:paraId="0D6E0C72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10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</w:tc>
            </w:tr>
            <w:tr w14:paraId="6B5C33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2B046042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10</w:t>
                  </w:r>
                </w:p>
              </w:tc>
              <w:tc>
                <w:tcPr>
                  <w:tcW w:w="737" w:type="dxa"/>
                  <w:vAlign w:val="center"/>
                </w:tcPr>
                <w:p w14:paraId="370C0C1F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电源线</w:t>
                  </w:r>
                </w:p>
              </w:tc>
              <w:tc>
                <w:tcPr>
                  <w:tcW w:w="3538" w:type="dxa"/>
                  <w:vAlign w:val="center"/>
                </w:tcPr>
                <w:p w14:paraId="33AC5AFE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新国标三插电源线，插头带绝缘防护，3米，具备3C认证。</w:t>
                  </w:r>
                </w:p>
              </w:tc>
              <w:tc>
                <w:tcPr>
                  <w:tcW w:w="737" w:type="dxa"/>
                  <w:vAlign w:val="center"/>
                </w:tcPr>
                <w:p w14:paraId="796267A9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</w:t>
                  </w:r>
                </w:p>
              </w:tc>
            </w:tr>
            <w:tr w14:paraId="1C7183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09F626B9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  <w:vAlign w:val="center"/>
                </w:tcPr>
                <w:p w14:paraId="2D7576FF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KVM切换器</w:t>
                  </w:r>
                </w:p>
              </w:tc>
              <w:tc>
                <w:tcPr>
                  <w:tcW w:w="3538" w:type="dxa"/>
                  <w:vAlign w:val="center"/>
                </w:tcPr>
                <w:p w14:paraId="79F79AF8">
                  <w:pPr>
                    <w:jc w:val="left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</w:rPr>
                    <w:t>支持</w:t>
                  </w:r>
                  <w:r>
                    <w:rPr>
                      <w:rFonts w:ascii="仿宋" w:hAnsi="仿宋" w:eastAsia="仿宋" w:cs="仿宋"/>
                      <w:sz w:val="22"/>
                      <w:szCs w:val="22"/>
                    </w:rPr>
                    <w:t>4</w:t>
                  </w:r>
                  <w:r>
                    <w:rPr>
                      <w:rFonts w:hint="eastAsia" w:ascii="仿宋" w:hAnsi="仿宋" w:eastAsia="仿宋" w:cs="仿宋"/>
                      <w:sz w:val="22"/>
                      <w:szCs w:val="22"/>
                    </w:rPr>
                    <w:t>口及以上KVM切换，具备HDMI、USB接口；</w:t>
                  </w:r>
                </w:p>
                <w:p w14:paraId="10193763">
                  <w:pPr>
                    <w:jc w:val="left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</w:rPr>
                    <w:t>集成显示器、键盘和鼠标触控板，屏尺寸≥17 英寸，分辨率</w:t>
                  </w:r>
                  <w:r>
                    <w:rPr>
                      <w:rFonts w:ascii="仿宋" w:hAnsi="仿宋" w:eastAsia="仿宋" w:cs="仿宋"/>
                      <w:sz w:val="22"/>
                      <w:szCs w:val="22"/>
                    </w:rPr>
                    <w:t>1920*1080</w:t>
                  </w:r>
                  <w:r>
                    <w:rPr>
                      <w:rFonts w:hint="eastAsia" w:ascii="仿宋" w:hAnsi="仿宋" w:eastAsia="仿宋" w:cs="仿宋"/>
                      <w:sz w:val="22"/>
                      <w:szCs w:val="22"/>
                    </w:rPr>
                    <w:t>；内置电源；</w:t>
                  </w:r>
                </w:p>
                <w:p w14:paraId="2D2D7DE7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</w:rPr>
                    <w:t>高度1U、支持机柜安装，配抽拉式金属导轨、机架锁止配件；配KVM专用线缆；</w:t>
                  </w:r>
                </w:p>
                <w:p w14:paraId="77347D10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 w:val="22"/>
                      <w:szCs w:val="22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</w:rPr>
                    <w:t>兼容Linux、Windows操作系统；</w:t>
                  </w:r>
                </w:p>
                <w:p w14:paraId="1A6AE291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</w:rPr>
                    <w:t>具备 3C 或 CE认证。</w:t>
                  </w:r>
                </w:p>
              </w:tc>
              <w:tc>
                <w:tcPr>
                  <w:tcW w:w="737" w:type="dxa"/>
                  <w:vAlign w:val="center"/>
                </w:tcPr>
                <w:p w14:paraId="4A9563C4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2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9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个</w:t>
                  </w:r>
                </w:p>
              </w:tc>
            </w:tr>
            <w:tr w14:paraId="16E03B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048598F4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zCs w:val="21"/>
                    </w:rPr>
                    <w:t>12</w:t>
                  </w:r>
                </w:p>
              </w:tc>
              <w:tc>
                <w:tcPr>
                  <w:tcW w:w="737" w:type="dxa"/>
                  <w:vAlign w:val="center"/>
                </w:tcPr>
                <w:p w14:paraId="27C8F8C7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机柜配电盒</w:t>
                  </w:r>
                </w:p>
              </w:tc>
              <w:tc>
                <w:tcPr>
                  <w:tcW w:w="3538" w:type="dxa"/>
                  <w:vAlign w:val="center"/>
                </w:tcPr>
                <w:p w14:paraId="54219BB3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配4个空开，空开采用导轨安装；配漏电保护器、五孔插座、零排、地排；</w:t>
                  </w:r>
                </w:p>
                <w:p w14:paraId="435FCFE4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配电盒通过挂耳安装；配电盒颜色、尺寸和空开功率需要与现场机柜匹配，安装前需要与采购人现场确认。</w:t>
                  </w:r>
                </w:p>
              </w:tc>
              <w:tc>
                <w:tcPr>
                  <w:tcW w:w="737" w:type="dxa"/>
                  <w:vAlign w:val="center"/>
                </w:tcPr>
                <w:p w14:paraId="1A8146C8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8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个</w:t>
                  </w:r>
                </w:p>
              </w:tc>
            </w:tr>
            <w:tr w14:paraId="5DC0E2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053384C9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3</w:t>
                  </w:r>
                </w:p>
              </w:tc>
              <w:tc>
                <w:tcPr>
                  <w:tcW w:w="737" w:type="dxa"/>
                  <w:vAlign w:val="center"/>
                </w:tcPr>
                <w:p w14:paraId="39E243CE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PDU</w:t>
                  </w:r>
                </w:p>
              </w:tc>
              <w:tc>
                <w:tcPr>
                  <w:tcW w:w="3538" w:type="dxa"/>
                  <w:vAlign w:val="center"/>
                </w:tcPr>
                <w:p w14:paraId="74408D75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8位10A；开关带保护罩以避免误触；</w:t>
                  </w:r>
                </w:p>
                <w:p w14:paraId="2D0B6C31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外露线长≥1.8米，出线不带插头，可接空开。</w:t>
                  </w:r>
                </w:p>
                <w:p w14:paraId="384A8294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可拆卸式挂耳；阻燃外壳；</w:t>
                  </w:r>
                </w:p>
                <w:p w14:paraId="4A42D78A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具备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3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C认证；</w:t>
                  </w:r>
                </w:p>
              </w:tc>
              <w:tc>
                <w:tcPr>
                  <w:tcW w:w="737" w:type="dxa"/>
                  <w:vAlign w:val="center"/>
                </w:tcPr>
                <w:p w14:paraId="21427EEE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个</w:t>
                  </w:r>
                </w:p>
              </w:tc>
            </w:tr>
            <w:tr w14:paraId="67E61DC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1F7AB326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4</w:t>
                  </w:r>
                </w:p>
              </w:tc>
              <w:tc>
                <w:tcPr>
                  <w:tcW w:w="737" w:type="dxa"/>
                  <w:vAlign w:val="center"/>
                </w:tcPr>
                <w:p w14:paraId="5E69B9D4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辅材</w:t>
                  </w:r>
                </w:p>
              </w:tc>
              <w:tc>
                <w:tcPr>
                  <w:tcW w:w="3538" w:type="dxa"/>
                  <w:vAlign w:val="center"/>
                </w:tcPr>
                <w:p w14:paraId="18E95652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线缆轧带、标签、线号管、接线端子等一批；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 xml:space="preserve"> </w:t>
                  </w:r>
                </w:p>
              </w:tc>
              <w:tc>
                <w:tcPr>
                  <w:tcW w:w="737" w:type="dxa"/>
                  <w:vAlign w:val="center"/>
                </w:tcPr>
                <w:p w14:paraId="7B281E56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1批</w:t>
                  </w:r>
                </w:p>
              </w:tc>
            </w:tr>
            <w:tr w14:paraId="572485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" w:type="dxa"/>
                  <w:vAlign w:val="center"/>
                </w:tcPr>
                <w:p w14:paraId="4A947E54">
                  <w:pPr>
                    <w:tabs>
                      <w:tab w:val="left" w:pos="6915"/>
                    </w:tabs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5</w:t>
                  </w:r>
                </w:p>
              </w:tc>
              <w:tc>
                <w:tcPr>
                  <w:tcW w:w="737" w:type="dxa"/>
                  <w:vAlign w:val="center"/>
                </w:tcPr>
                <w:p w14:paraId="0A66BBA7">
                  <w:pPr>
                    <w:jc w:val="center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现场安装</w:t>
                  </w:r>
                </w:p>
              </w:tc>
              <w:tc>
                <w:tcPr>
                  <w:tcW w:w="3538" w:type="dxa"/>
                  <w:vAlign w:val="center"/>
                </w:tcPr>
                <w:p w14:paraId="3873044A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提供7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台机柜的动力线缆铺设与接线，接地线缆的铺设与接线，KVM切换器、配电盒、PDU的安装和接线；提供柜内设备的安装以及供电线连接；提供柜内理线架和盲板的安装，柜内风扇、照明等的供电线连接；</w:t>
                  </w:r>
                </w:p>
                <w:p w14:paraId="40E8D4C2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提供约1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700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根网线的两端水晶头压接，并完成网线的铺设连接；</w:t>
                  </w:r>
                </w:p>
                <w:p w14:paraId="16DCFD20">
                  <w:pPr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提供8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35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根成品光纤、8</w:t>
                  </w:r>
                  <w:r>
                    <w:rPr>
                      <w:rFonts w:ascii="仿宋" w:hAnsi="仿宋" w:eastAsia="仿宋" w:cs="仿宋"/>
                      <w:szCs w:val="21"/>
                    </w:rPr>
                    <w:t>10</w:t>
                  </w:r>
                  <w:r>
                    <w:rPr>
                      <w:rFonts w:hint="eastAsia" w:ascii="仿宋" w:hAnsi="仿宋" w:eastAsia="仿宋" w:cs="仿宋"/>
                      <w:szCs w:val="21"/>
                    </w:rPr>
                    <w:t>根成品网线的铺设连接；上述待施工安装的线缆均在设备间内，无跨房间布线；具体安装数量以现场实际需要为准；</w:t>
                  </w:r>
                </w:p>
              </w:tc>
              <w:tc>
                <w:tcPr>
                  <w:tcW w:w="737" w:type="dxa"/>
                  <w:vAlign w:val="center"/>
                </w:tcPr>
                <w:p w14:paraId="14F0C2A0">
                  <w:pPr>
                    <w:tabs>
                      <w:tab w:val="left" w:pos="6915"/>
                    </w:tabs>
                    <w:jc w:val="left"/>
                    <w:rPr>
                      <w:rFonts w:ascii="仿宋" w:hAnsi="仿宋" w:eastAsia="仿宋" w:cs="仿宋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Cs w:val="21"/>
                    </w:rPr>
                    <w:t>1项</w:t>
                  </w:r>
                </w:p>
              </w:tc>
            </w:tr>
          </w:tbl>
          <w:p w14:paraId="5BAF0D7E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</w:p>
          <w:p w14:paraId="160A92F6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hint="default" w:ascii="Arial" w:hAnsi="Arial" w:eastAsia="宋体" w:cs="Arial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508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6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AFA31"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其它：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1"/>
                <w:lang w:val="en-US" w:eastAsia="zh-CN"/>
              </w:rPr>
              <w:t>供应商需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1"/>
              </w:rPr>
              <w:t>具备安全生产许可证，提供现场作业人员名单，其中至少2人具备低压电工作业证或建筑电工证，并提供有效的证书复印件以及本年度任意3个月社保缴纳证明。现场安装人员进场前，需提供工伤保险证明。</w:t>
            </w:r>
          </w:p>
          <w:p w14:paraId="255B2E02"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1"/>
              </w:rPr>
            </w:pPr>
          </w:p>
          <w:p w14:paraId="7719E651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报价要求：</w:t>
            </w: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报价单按采购清单表，逐项列明单价及分项金额。</w:t>
            </w:r>
          </w:p>
          <w:p w14:paraId="1E447B8F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</w:p>
          <w:p w14:paraId="143E1120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交货期：</w:t>
            </w: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合同生效之日起45日内将所有货物送达指定地点。</w:t>
            </w:r>
          </w:p>
          <w:p w14:paraId="254F8C65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</w:p>
          <w:p w14:paraId="2065C2A6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交付进度：</w:t>
            </w: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合同生效之日起45日内将所有货物送达指定地点；合同生效之日起5个月内完成安装，供应商应于接到采购人进场安装的通知后12小时内到达现场开展安装工作。</w:t>
            </w:r>
          </w:p>
          <w:p w14:paraId="59077582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</w:p>
          <w:p w14:paraId="191E1651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付款方式：</w:t>
            </w: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 xml:space="preserve">合同签订后，支付合同总价的30%预付款； </w:t>
            </w:r>
          </w:p>
          <w:p w14:paraId="3B45A9F1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全部货物货到现场并验收合格后，支付合同总价的50%；</w:t>
            </w:r>
          </w:p>
          <w:p w14:paraId="7892305C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完成安装后支付尾款。</w:t>
            </w:r>
          </w:p>
          <w:p w14:paraId="5886F5FD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注：最后一次付款前，供应商须向采购人提供100%合同价款的增值税专用发票。</w:t>
            </w:r>
          </w:p>
          <w:p w14:paraId="4C89978E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</w:p>
          <w:p w14:paraId="2267255B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验收指标及验收要求：</w:t>
            </w:r>
          </w:p>
          <w:p w14:paraId="273D9E09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产品合格证；</w:t>
            </w:r>
          </w:p>
          <w:p w14:paraId="1B85C09C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动力线缆、接地线缆的检测报告复印件</w:t>
            </w:r>
            <w:r>
              <w:rPr>
                <w:rFonts w:hint="eastAsia" w:ascii="宋体" w:hAnsi="宋体" w:eastAsia="宋体" w:cs="宋体"/>
                <w:bCs/>
                <w:sz w:val="22"/>
                <w:szCs w:val="24"/>
                <w:lang w:eastAsia="zh-CN"/>
              </w:rPr>
              <w:t>。</w:t>
            </w:r>
          </w:p>
          <w:p w14:paraId="3364DAC1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/>
                <w:szCs w:val="21"/>
              </w:rPr>
            </w:pPr>
          </w:p>
          <w:p w14:paraId="52B349ED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阶段性检查要求：</w:t>
            </w:r>
          </w:p>
          <w:p w14:paraId="52796A20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货物为全新合格正品，资料齐全、包装完整。</w:t>
            </w:r>
          </w:p>
          <w:p w14:paraId="3E81623F">
            <w:pPr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</w:p>
          <w:p w14:paraId="51A0CBB4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保修及售后服务</w:t>
            </w:r>
            <w:r>
              <w:rPr>
                <w:rFonts w:hint="eastAsia" w:ascii="宋体" w:hAnsi="宋体" w:eastAsia="宋体" w:cs="宋体"/>
                <w:b/>
                <w:sz w:val="22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质保期不少于36个月，起始日期以收到货物并通过验收之日开始计算。</w:t>
            </w:r>
          </w:p>
          <w:p w14:paraId="277C9895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质保期内，供应商负责免费更换。供应商应于接到采购人通知后12小时内（法定假期除外）进行响应；需要抵达现场进行维修的，供应商应在24小时内抵达现场，并在合理的时间内完成维修。</w:t>
            </w:r>
          </w:p>
          <w:p w14:paraId="16F02DD0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</w:p>
          <w:p w14:paraId="63C950A3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其它：</w:t>
            </w:r>
          </w:p>
          <w:p w14:paraId="749BF43B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Cs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4"/>
              </w:rPr>
              <w:t>其余未尽事项由采购人和成交供应商在签订合同时商定补充。</w:t>
            </w:r>
          </w:p>
          <w:p w14:paraId="35438327">
            <w:pPr>
              <w:tabs>
                <w:tab w:val="left" w:pos="6915"/>
              </w:tabs>
              <w:jc w:val="left"/>
              <w:rPr>
                <w:rFonts w:hint="eastAsia"/>
                <w:bCs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p w14:paraId="47D97DB4">
      <w:pPr>
        <w:ind w:right="840"/>
        <w:jc w:val="both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4566262"/>
    <w:rsid w:val="0C7718F8"/>
    <w:rsid w:val="0F6A44CD"/>
    <w:rsid w:val="1F2766DB"/>
    <w:rsid w:val="2C5002AE"/>
    <w:rsid w:val="2D070EC5"/>
    <w:rsid w:val="300644B3"/>
    <w:rsid w:val="46BB5348"/>
    <w:rsid w:val="4D9F5412"/>
    <w:rsid w:val="51936088"/>
    <w:rsid w:val="5D3F378A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1759</Words>
  <Characters>2174</Characters>
  <Lines>4</Lines>
  <Paragraphs>1</Paragraphs>
  <TotalTime>0</TotalTime>
  <ScaleCrop>false</ScaleCrop>
  <LinksUpToDate>false</LinksUpToDate>
  <CharactersWithSpaces>2238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AS</cp:lastModifiedBy>
  <dcterms:modified xsi:type="dcterms:W3CDTF">2026-08-04T07:32:24Z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eyJoZGlkIjoiMGQzOTdkOGRkYjZhYTk4MmY5N2IxYTM5YzdjNDc1ZDQiLCJ1c2VySWQiOiI5MjU2OTg5MTgifQ==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4D244570302448C3A992021EC8C27F18_13</vt:lpwstr>
  </property>
</Properties>
</file>