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5" w:name="_GoBack"/>
      <w:r>
        <w:rPr>
          <w:rFonts w:hint="eastAsia"/>
          <w:sz w:val="36"/>
        </w:rPr>
        <w:t>技术指标供应商确认表</w:t>
      </w:r>
    </w:p>
    <w:bookmarkEnd w:id="5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1695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质量分析器组件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jc w:val="left"/>
              <w:rPr>
                <w:bCs/>
                <w:sz w:val="24"/>
                <w:szCs w:val="24"/>
              </w:rPr>
            </w:pPr>
          </w:p>
          <w:p w14:paraId="13E93CD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bookmarkStart w:id="0" w:name="OLE_LINK7"/>
            <w:bookmarkStart w:id="1" w:name="OLE_LINK8"/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1、按图纸加工零件，零件表面不得有明显划痕，精密零件超声清洗后，组装捡漏，漏率低于2.0E-8 Pa.m3/s；</w:t>
            </w:r>
          </w:p>
          <w:p w14:paraId="4B82DA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配备ADC采集卡，</w:t>
            </w:r>
            <w:bookmarkStart w:id="2" w:name="OLE_LINK2"/>
            <w:bookmarkStart w:id="3" w:name="OLE_LINK1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采样率4GS/s，带宽2GHz</w:t>
            </w:r>
            <w:bookmarkEnd w:id="2"/>
            <w:bookmarkEnd w:id="3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；</w:t>
            </w:r>
          </w:p>
          <w:p w14:paraId="5325D45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离子探测器配备4片Φ25/6-4μm微通道板；</w:t>
            </w:r>
          </w:p>
          <w:p w14:paraId="7C69FC7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质量分析器质量分辨大于8000，基于单光子电离，检测灵敏度大于10ppb</w:t>
            </w:r>
            <w:bookmarkEnd w:id="0"/>
            <w:bookmarkEnd w:id="1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，提供测试方法与报告。</w:t>
            </w:r>
          </w:p>
          <w:p w14:paraId="4E393D2E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7EEEDF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交货期：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</w:t>
            </w:r>
          </w:p>
          <w:p w14:paraId="6BF9AA2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交付进度：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加工2个月，调试及测试2个月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。</w:t>
            </w:r>
          </w:p>
          <w:p w14:paraId="79D9F38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付款方式：</w:t>
            </w:r>
            <w:bookmarkStart w:id="4" w:name="_Hlk201049462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合同签订后支付合同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总额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0%，设备到货并调试验收合格后，</w:t>
            </w:r>
            <w:bookmarkEnd w:id="4"/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支付合同尾款。</w:t>
            </w:r>
          </w:p>
          <w:p w14:paraId="6EEB130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提供测试报告，满足技术参数要求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487DE52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阶段性检查要求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：定期提供项目进展，关键节点提供进展报告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67F89D42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质保期1年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DFFEB29">
      <w:pPr>
        <w:ind w:right="840"/>
        <w:rPr>
          <w:sz w:val="22"/>
          <w:szCs w:val="22"/>
        </w:rPr>
      </w:pPr>
    </w:p>
    <w:p w14:paraId="0DED7F3B">
      <w:pPr>
        <w:ind w:right="840" w:firstLine="4620" w:firstLineChars="2100"/>
        <w:rPr>
          <w:sz w:val="22"/>
          <w:szCs w:val="22"/>
        </w:rPr>
      </w:pPr>
    </w:p>
    <w:p w14:paraId="3B337994">
      <w:pPr>
        <w:ind w:right="840" w:firstLine="4620" w:firstLineChars="2100"/>
        <w:rPr>
          <w:sz w:val="22"/>
          <w:szCs w:val="22"/>
        </w:rPr>
      </w:pPr>
    </w:p>
    <w:p w14:paraId="6B36AD4F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3E9432A4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p w14:paraId="193DE2A2"/>
    <w:p w14:paraId="68BCE6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B4E07"/>
    <w:rsid w:val="1DB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2025-11-26T06:18:00Z</dcterms:created>
  <dc:creator>amour</dc:creator>
  <cp:lastModifiedBy>amour</cp:lastModifiedBy>
  <dcterms:modified xsi:type="dcterms:W3CDTF">2025-11-26T06:21:02Z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CEFE1B9DD1824F86B859D75D30397E1C_11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