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021"/>
        <w:gridCol w:w="6194"/>
        <w:gridCol w:w="1291"/>
        <w:gridCol w:w="919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无磁盲板法兰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BD0A839">
            <w:r>
              <w:rPr>
                <w:rFonts w:hint="eastAsia"/>
              </w:rPr>
              <w:t>本次采购的</w:t>
            </w:r>
            <w:bookmarkStart w:id="0" w:name="OLE_LINK2"/>
            <w:bookmarkStart w:id="1" w:name="OLE_LINK1"/>
            <w:bookmarkStart w:id="2" w:name="OLE_LINK3"/>
            <w:r>
              <w:rPr>
                <w:rFonts w:hint="eastAsia"/>
              </w:rPr>
              <w:t>无磁盲板法兰等项目，</w:t>
            </w:r>
            <w:r>
              <w:rPr>
                <w:szCs w:val="21"/>
              </w:rPr>
              <w:t>主要用于储存环真空系统密封工作</w:t>
            </w:r>
            <w:r>
              <w:rPr>
                <w:rFonts w:hint="eastAsia"/>
              </w:rPr>
              <w:t>，相关要求如下：</w:t>
            </w:r>
          </w:p>
          <w:p w14:paraId="2530BA5F">
            <w:bookmarkStart w:id="3" w:name="OLE_LINK10"/>
            <w:r>
              <w:rPr>
                <w:rFonts w:hint="eastAsia"/>
              </w:rPr>
              <w:t>1</w:t>
            </w:r>
            <w:r>
              <w:t>）</w:t>
            </w:r>
            <w:r>
              <w:rPr>
                <w:rFonts w:hint="eastAsia"/>
              </w:rPr>
              <w:t>无磁盲板法兰材料要求316L或316LN；磁导率小于等于1.02；法兰标准基于GB/Z 25756-2010；</w:t>
            </w:r>
          </w:p>
          <w:p w14:paraId="596A8DC0">
            <w:r>
              <w:rPr>
                <w:rFonts w:hint="eastAsia"/>
              </w:rPr>
              <w:t>2</w:t>
            </w:r>
            <w:r>
              <w:t>）</w:t>
            </w:r>
            <w:r>
              <w:rPr>
                <w:rFonts w:hint="eastAsia"/>
              </w:rPr>
              <w:t>φ38*1.5-90°弯头材料要求316L或316LN；磁导率小于等于1.02；法兰标准基于GB/Z 25756-2010；</w:t>
            </w:r>
          </w:p>
          <w:p w14:paraId="67CCE447">
            <w:r>
              <w:rPr>
                <w:rFonts w:hint="eastAsia"/>
              </w:rPr>
              <w:t>3</w:t>
            </w:r>
            <w:r>
              <w:t>）</w:t>
            </w:r>
            <w:r>
              <w:rPr>
                <w:rFonts w:hint="eastAsia"/>
              </w:rPr>
              <w:t>波纹管长度1.5 m</w:t>
            </w:r>
          </w:p>
          <w:p w14:paraId="0DDC1B7C">
            <w:r>
              <w:rPr>
                <w:rFonts w:hint="eastAsia"/>
              </w:rPr>
              <w:t>4</w:t>
            </w:r>
            <w:r>
              <w:t>）</w:t>
            </w:r>
            <w:r>
              <w:rPr>
                <w:rFonts w:hint="eastAsia"/>
              </w:rPr>
              <w:t>所有采购项目真空漏率≤5E-11 mbar·L/s</w:t>
            </w:r>
          </w:p>
          <w:bookmarkEnd w:id="3"/>
          <w:p w14:paraId="4A3C2859">
            <w:r>
              <w:rPr>
                <w:rFonts w:hint="eastAsia"/>
              </w:rPr>
              <w:t>5</w:t>
            </w:r>
            <w:r>
              <w:t>）所有</w:t>
            </w:r>
            <w:r>
              <w:rPr>
                <w:rFonts w:hint="eastAsia"/>
              </w:rPr>
              <w:t>采购项目需</w:t>
            </w:r>
            <w:r>
              <w:t>洁净</w:t>
            </w:r>
            <w:r>
              <w:rPr>
                <w:rFonts w:hint="eastAsia"/>
              </w:rPr>
              <w:t>，需按照超高真空清洗标准清洗处理；</w:t>
            </w:r>
          </w:p>
          <w:p w14:paraId="3C485ECA">
            <w:r>
              <w:rPr>
                <w:rFonts w:hint="eastAsia"/>
              </w:rPr>
              <w:t>6</w:t>
            </w:r>
            <w:r>
              <w:t>）</w:t>
            </w:r>
            <w:r>
              <w:rPr>
                <w:rFonts w:hint="eastAsia"/>
              </w:rPr>
              <w:t>产品质保期为 1年 ，时间自验收合格之日起计算。质保期内货物出现质量问题的，乙方应自接到甲方异议之日起 3 日内以更换等方式解决，因此所发生的费用由乙方承担。乙方免费提供必要的技术咨询以确保甲方能安全、有效的使用标的货物。</w:t>
            </w:r>
          </w:p>
          <w:p w14:paraId="75940476">
            <w:r>
              <w:rPr>
                <w:rFonts w:hint="eastAsia"/>
              </w:rPr>
              <w:t>7</w:t>
            </w:r>
            <w:r>
              <w:t>）包装和运输：</w:t>
            </w:r>
          </w:p>
          <w:p w14:paraId="4A7C2398">
            <w:pPr>
              <w:ind w:firstLine="420" w:firstLineChars="200"/>
            </w:pPr>
            <w:r>
              <w:t>包装和运输均由承制方负责，承制方应该要保证产品安全可靠的运输至需方指定地方。具体方案需经</w:t>
            </w:r>
            <w:r>
              <w:rPr>
                <w:rFonts w:hint="eastAsia"/>
              </w:rPr>
              <w:t>甲方</w:t>
            </w:r>
            <w:r>
              <w:t>认可。</w:t>
            </w:r>
          </w:p>
          <w:p w14:paraId="176E5A75">
            <w:pPr>
              <w:ind w:firstLine="420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宋体"/>
              </w:rPr>
              <w:t>①采购项目需</w:t>
            </w:r>
            <w:r>
              <w:t>按照不同的规格进行单独包装并贴标签</w:t>
            </w:r>
            <w:r>
              <w:rPr>
                <w:rFonts w:hint="eastAsia"/>
                <w:lang w:eastAsia="zh-CN"/>
              </w:rPr>
              <w:t>。</w:t>
            </w:r>
          </w:p>
          <w:p w14:paraId="5F5A19F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：</w:t>
            </w:r>
            <w:bookmarkEnd w:id="0"/>
            <w:bookmarkEnd w:id="1"/>
            <w:bookmarkEnd w:id="2"/>
            <w:r>
              <w:rPr>
                <w:rFonts w:hint="eastAsia"/>
                <w:b/>
                <w:sz w:val="24"/>
              </w:rPr>
              <w:t>名称及类型数量</w:t>
            </w:r>
          </w:p>
          <w:tbl>
            <w:tblPr>
              <w:tblStyle w:val="5"/>
              <w:tblW w:w="597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4"/>
              <w:gridCol w:w="1494"/>
              <w:gridCol w:w="846"/>
              <w:gridCol w:w="2054"/>
            </w:tblGrid>
            <w:tr w14:paraId="5952DEE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9" w:hRule="atLeast"/>
                <w:jc w:val="center"/>
              </w:trPr>
              <w:tc>
                <w:tcPr>
                  <w:tcW w:w="15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FD7DBE4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bookmarkStart w:id="4" w:name="OLE_LINK4"/>
                  <w:r>
                    <w:rPr>
                      <w:rFonts w:hint="eastAsia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1BB90F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接口类型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D973869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数量（个）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D5BE451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技术指标</w:t>
                  </w:r>
                </w:p>
              </w:tc>
            </w:tr>
            <w:tr w14:paraId="59A6F1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  <w:jc w:val="center"/>
              </w:trPr>
              <w:tc>
                <w:tcPr>
                  <w:tcW w:w="158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 w14:paraId="5B3E17D6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无磁盲板法兰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825575D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CF25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B9576D5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2056" w:type="dxa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 w14:paraId="3FFCA085">
                  <w:pPr>
                    <w:jc w:val="center"/>
                  </w:pPr>
                  <w:r>
                    <w:rPr>
                      <w:rFonts w:hint="eastAsia"/>
                      <w:kern w:val="0"/>
                      <w:szCs w:val="21"/>
                    </w:rPr>
                    <w:t>材料磁导率小于等于1.02；</w:t>
                  </w:r>
                  <w:r>
                    <w:rPr>
                      <w:rFonts w:hint="eastAsia"/>
                    </w:rPr>
                    <w:t>材料要求316L或316LN；法兰标准基于</w:t>
                  </w:r>
                  <w:r>
                    <w:t>GB/Z 25756-2010</w:t>
                  </w:r>
                  <w:r>
                    <w:rPr>
                      <w:rFonts w:hint="eastAsia"/>
                    </w:rPr>
                    <w:t>；</w:t>
                  </w: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tr w14:paraId="4D49732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  <w:jc w:val="center"/>
              </w:trPr>
              <w:tc>
                <w:tcPr>
                  <w:tcW w:w="1586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 w14:paraId="749227C7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60CE465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CF35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7A2CE22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420</w:t>
                  </w:r>
                </w:p>
              </w:tc>
              <w:tc>
                <w:tcPr>
                  <w:tcW w:w="2056" w:type="dxa"/>
                  <w:vMerge w:val="continue"/>
                  <w:tcBorders>
                    <w:left w:val="nil"/>
                    <w:right w:val="single" w:color="auto" w:sz="4" w:space="0"/>
                  </w:tcBorders>
                  <w:vAlign w:val="center"/>
                </w:tcPr>
                <w:p w14:paraId="1BCAC738">
                  <w:pPr>
                    <w:jc w:val="center"/>
                    <w:rPr>
                      <w:kern w:val="0"/>
                      <w:szCs w:val="21"/>
                    </w:rPr>
                  </w:pPr>
                </w:p>
              </w:tc>
            </w:tr>
            <w:tr w14:paraId="72B562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89" w:hRule="atLeast"/>
                <w:jc w:val="center"/>
              </w:trPr>
              <w:tc>
                <w:tcPr>
                  <w:tcW w:w="1586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 w14:paraId="15D387C5">
                  <w:pPr>
                    <w:widowControl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F0C59EB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CF63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E285E8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250</w:t>
                  </w:r>
                </w:p>
              </w:tc>
              <w:tc>
                <w:tcPr>
                  <w:tcW w:w="2056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37E0BC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</w:p>
              </w:tc>
            </w:tr>
            <w:tr w14:paraId="5E69C4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  <w:jc w:val="center"/>
              </w:trPr>
              <w:tc>
                <w:tcPr>
                  <w:tcW w:w="15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39AC435">
                  <w:pPr>
                    <w:widowControl/>
                    <w:jc w:val="center"/>
                    <w:textAlignment w:val="bottom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转接头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365F859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CF35转KF40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9F55909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150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465548F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tr w14:paraId="771BB4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07" w:hRule="atLeast"/>
                <w:jc w:val="center"/>
              </w:trPr>
              <w:tc>
                <w:tcPr>
                  <w:tcW w:w="158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AB08216">
                  <w:pPr>
                    <w:widowControl/>
                    <w:jc w:val="center"/>
                    <w:textAlignment w:val="bottom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φ38*1.5-90°弯头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07B38A6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接CF35-CF35弯头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238E3B1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2</w:t>
                  </w:r>
                  <w:r>
                    <w:rPr>
                      <w:rFonts w:hint="eastAsia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B83B74C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材料磁导率小于等于1.02；</w:t>
                  </w:r>
                  <w:r>
                    <w:rPr>
                      <w:rFonts w:hint="eastAsia"/>
                    </w:rPr>
                    <w:t>材料要求316L或316LN；法兰标准基于</w:t>
                  </w:r>
                  <w:r>
                    <w:t>GB/Z 25756-2010</w:t>
                  </w:r>
                  <w:r>
                    <w:rPr>
                      <w:rFonts w:hint="eastAsia"/>
                      <w:kern w:val="0"/>
                      <w:szCs w:val="21"/>
                    </w:rPr>
                    <w:t>；</w:t>
                  </w: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tr w14:paraId="43FEF9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  <w:jc w:val="center"/>
              </w:trPr>
              <w:tc>
                <w:tcPr>
                  <w:tcW w:w="158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CDD7CC1">
                  <w:pPr>
                    <w:widowControl/>
                    <w:jc w:val="center"/>
                    <w:textAlignment w:val="bottom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普通盲板法兰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807E761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KF40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2446A66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200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5B2B60D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tr w14:paraId="70C8160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9" w:hRule="atLeast"/>
                <w:jc w:val="center"/>
              </w:trPr>
              <w:tc>
                <w:tcPr>
                  <w:tcW w:w="158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7ACCEA3">
                  <w:pPr>
                    <w:widowControl/>
                    <w:jc w:val="center"/>
                    <w:textAlignment w:val="bottom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卡箍套装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B801A82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KF40卡箍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C85B827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300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0F6A295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tr w14:paraId="40A7387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8" w:hRule="atLeast"/>
                <w:jc w:val="center"/>
              </w:trPr>
              <w:tc>
                <w:tcPr>
                  <w:tcW w:w="158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02EE74">
                  <w:pPr>
                    <w:widowControl/>
                    <w:jc w:val="center"/>
                    <w:textAlignment w:val="bottom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波纹管</w:t>
                  </w:r>
                </w:p>
              </w:tc>
              <w:tc>
                <w:tcPr>
                  <w:tcW w:w="14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682AA3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KF40波纹管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DC7C94E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205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4829552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1.5m；</w:t>
                  </w:r>
                  <w:r>
                    <w:rPr>
                      <w:kern w:val="0"/>
                      <w:szCs w:val="21"/>
                    </w:rPr>
                    <w:t>漏率≤5</w:t>
                  </w:r>
                  <w:r>
                    <w:rPr>
                      <w:rFonts w:hint="eastAsia"/>
                      <w:kern w:val="0"/>
                      <w:szCs w:val="21"/>
                    </w:rPr>
                    <w:t>E-11</w:t>
                  </w:r>
                  <w:r>
                    <w:rPr>
                      <w:kern w:val="0"/>
                      <w:szCs w:val="21"/>
                    </w:rPr>
                    <w:t>mbar·L/s</w:t>
                  </w:r>
                </w:p>
              </w:tc>
            </w:tr>
            <w:bookmarkEnd w:id="4"/>
          </w:tbl>
          <w:p w14:paraId="21255EEF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802B6">
            <w:pPr>
              <w:rPr>
                <w:rFonts w:hint="eastAsia"/>
                <w:szCs w:val="21"/>
              </w:rPr>
            </w:pPr>
            <w:r>
              <w:rPr>
                <w:b/>
                <w:bCs/>
                <w:szCs w:val="21"/>
              </w:rPr>
              <w:t>交货期</w:t>
            </w:r>
            <w:r>
              <w:rPr>
                <w:rFonts w:hint="eastAsia"/>
                <w:b/>
                <w:bCs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合同签订之日起1个月内交付30%，合同签订之日起3个月内交付完毕。</w:t>
            </w:r>
          </w:p>
          <w:p w14:paraId="58AAECBC">
            <w:pPr>
              <w:rPr>
                <w:rFonts w:hint="eastAsia"/>
                <w:szCs w:val="21"/>
              </w:rPr>
            </w:pPr>
            <w:r>
              <w:rPr>
                <w:b/>
                <w:bCs/>
                <w:szCs w:val="21"/>
              </w:rPr>
              <w:t>交付进度</w:t>
            </w:r>
            <w:r>
              <w:rPr>
                <w:rFonts w:hint="eastAsia"/>
                <w:b/>
                <w:bCs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合同签订之日起3个月内，交付完毕。</w:t>
            </w:r>
          </w:p>
          <w:p w14:paraId="384BE5B7">
            <w:pPr>
              <w:rPr>
                <w:rFonts w:hint="eastAsia" w:ascii="宋体" w:hAnsi="宋体" w:eastAsia="宋体"/>
                <w:bCs/>
                <w:szCs w:val="21"/>
              </w:rPr>
            </w:pPr>
            <w:r>
              <w:rPr>
                <w:b/>
                <w:bCs/>
                <w:szCs w:val="21"/>
              </w:rPr>
              <w:t>付款方式</w:t>
            </w:r>
            <w:r>
              <w:rPr>
                <w:rFonts w:hint="eastAsia"/>
                <w:b/>
                <w:bCs/>
                <w:szCs w:val="21"/>
              </w:rPr>
              <w:t>：</w:t>
            </w:r>
            <w:bookmarkStart w:id="5" w:name="OLE_LINK6"/>
            <w:r>
              <w:rPr>
                <w:szCs w:val="21"/>
              </w:rPr>
              <w:t>全部货物到货后，付全款</w:t>
            </w:r>
            <w:r>
              <w:rPr>
                <w:rFonts w:hint="eastAsia"/>
                <w:szCs w:val="21"/>
              </w:rPr>
              <w:t>100</w:t>
            </w:r>
            <w:r>
              <w:rPr>
                <w:szCs w:val="21"/>
              </w:rPr>
              <w:t>%</w:t>
            </w:r>
            <w:r>
              <w:rPr>
                <w:rFonts w:hint="eastAsia"/>
                <w:szCs w:val="21"/>
              </w:rPr>
              <w:t>。</w:t>
            </w:r>
            <w:bookmarkEnd w:id="5"/>
          </w:p>
          <w:p w14:paraId="52B87538">
            <w:pPr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验收指标及验收要求：</w:t>
            </w:r>
          </w:p>
          <w:p w14:paraId="0975DA16">
            <w:pPr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产品</w:t>
            </w:r>
            <w:r>
              <w:rPr>
                <w:b w:val="0"/>
                <w:bCs w:val="0"/>
                <w:szCs w:val="21"/>
              </w:rPr>
              <w:t>加工完成后，由供应商提供</w:t>
            </w:r>
            <w:r>
              <w:rPr>
                <w:rFonts w:hint="eastAsia"/>
                <w:lang w:val="en-US" w:eastAsia="zh-CN"/>
              </w:rPr>
              <w:t>产品</w:t>
            </w:r>
            <w:bookmarkStart w:id="6" w:name="_GoBack"/>
            <w:bookmarkEnd w:id="6"/>
            <w:r>
              <w:rPr>
                <w:b w:val="0"/>
                <w:bCs w:val="0"/>
                <w:szCs w:val="21"/>
              </w:rPr>
              <w:t>的验收方案，出厂报告至少应包含以下内容：</w:t>
            </w:r>
          </w:p>
          <w:p w14:paraId="093C3152">
            <w:pPr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性能测试报告</w:t>
            </w:r>
          </w:p>
          <w:p w14:paraId="4D0D6C0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b w:val="0"/>
                <w:bCs w:val="0"/>
                <w:szCs w:val="21"/>
              </w:rPr>
              <w:t>供应商需按照技术要求，提供性能测试报告</w:t>
            </w:r>
            <w:r>
              <w:rPr>
                <w:rFonts w:hint="eastAsia"/>
                <w:b w:val="0"/>
                <w:bCs w:val="0"/>
                <w:szCs w:val="21"/>
              </w:rPr>
              <w:t>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730</Words>
  <Characters>978</Characters>
  <Lines>6</Lines>
  <Paragraphs>1</Paragraphs>
  <TotalTime>0</TotalTime>
  <ScaleCrop>false</ScaleCrop>
  <LinksUpToDate>false</LinksUpToDate>
  <CharactersWithSpaces>1017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2026-03-01T06:26:29Z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