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539E4" w:rsidTr="007267B2">
        <w:trPr>
          <w:trHeight w:val="408"/>
        </w:trPr>
        <w:tc>
          <w:tcPr>
            <w:tcW w:w="704" w:type="dxa"/>
            <w:vAlign w:val="center"/>
          </w:tcPr>
          <w:p w:rsidR="001539E4" w:rsidRDefault="001539E4" w:rsidP="001539E4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9E4" w:rsidRPr="008A406B" w:rsidRDefault="001539E4" w:rsidP="001539E4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D20C6C">
              <w:rPr>
                <w:rFonts w:asciiTheme="minorEastAsia" w:hAnsiTheme="minorEastAsia" w:cs="宋体" w:hint="eastAsia"/>
                <w:color w:val="000000"/>
                <w:kern w:val="0"/>
              </w:rPr>
              <w:t>红外FEL实验室EMC升级测试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9E4" w:rsidRPr="008A406B" w:rsidRDefault="001539E4" w:rsidP="001539E4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</w:rPr>
            </w:pPr>
            <w:r w:rsidRPr="00D20C6C">
              <w:rPr>
                <w:rFonts w:asciiTheme="minorEastAsia" w:hAnsiTheme="minorEastAsia" w:cs="宋体" w:hint="eastAsia"/>
                <w:color w:val="000000"/>
                <w:kern w:val="0"/>
              </w:rPr>
              <w:t>针对红外FEL实验室电磁信号扰动大的问题，进行电磁兼容性（EMC）升级改造，并提供一整套实验室测量分析报告，其中接地均压环整体电阻＜0.5Ω，总长≥100 m，不锈钢网络桥架总长≥80 m。升级测试得到采购人认可后，提供一套切实可行的实验室标准化EMC方案。</w:t>
            </w:r>
          </w:p>
        </w:tc>
        <w:tc>
          <w:tcPr>
            <w:tcW w:w="1681" w:type="dxa"/>
            <w:vAlign w:val="center"/>
          </w:tcPr>
          <w:p w:rsidR="001539E4" w:rsidRDefault="001539E4" w:rsidP="001539E4">
            <w:pPr>
              <w:jc w:val="center"/>
            </w:pPr>
          </w:p>
        </w:tc>
        <w:tc>
          <w:tcPr>
            <w:tcW w:w="1262" w:type="dxa"/>
            <w:vAlign w:val="center"/>
          </w:tcPr>
          <w:p w:rsidR="001539E4" w:rsidRDefault="001539E4" w:rsidP="001539E4">
            <w:pPr>
              <w:jc w:val="center"/>
            </w:pPr>
          </w:p>
        </w:tc>
      </w:tr>
      <w:tr w:rsidR="00FE15FA" w:rsidTr="007267B2">
        <w:trPr>
          <w:trHeight w:val="5112"/>
        </w:trPr>
        <w:tc>
          <w:tcPr>
            <w:tcW w:w="704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bookmarkStart w:id="0" w:name="_GoBack"/>
            <w:r w:rsidRPr="001539E4">
              <w:rPr>
                <w:rFonts w:ascii="宋体" w:hAnsi="宋体" w:hint="eastAsia"/>
                <w:szCs w:val="21"/>
              </w:rPr>
              <w:t xml:space="preserve">交货期：1个月 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交付进度：合同签订后1个月内完成升级测试内容并提供相关报告文件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付款方式：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合同签订后，预付合同总额50%；完成验收后，支付合同尾款。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验收指标及验收要求：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根据国家或者行业标准，借鉴CERN等国内外实验室经验，供应商提供采购人认可的电能质量记录、接地干扰电流测量、电源共模干扰测量、接地电阻测量、实验室环境近场与远场测量等分析报告，包括准备所需测试的测量工具。</w:t>
            </w:r>
          </w:p>
          <w:p w:rsidR="001539E4" w:rsidRPr="001539E4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阶段性检查要求：</w:t>
            </w:r>
          </w:p>
          <w:p w:rsidR="007267B2" w:rsidRPr="00375B0A" w:rsidRDefault="001539E4" w:rsidP="001539E4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539E4">
              <w:rPr>
                <w:rFonts w:ascii="宋体" w:hAnsi="宋体" w:hint="eastAsia"/>
                <w:szCs w:val="21"/>
              </w:rPr>
              <w:t>采购人、供应商双方应指定技术代表以沟通联络制造中所有事宜。</w:t>
            </w:r>
            <w:bookmarkEnd w:id="0"/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BDF" w:rsidRDefault="009F3BDF" w:rsidP="008F5C2B">
      <w:r>
        <w:separator/>
      </w:r>
    </w:p>
  </w:endnote>
  <w:endnote w:type="continuationSeparator" w:id="0">
    <w:p w:rsidR="009F3BDF" w:rsidRDefault="009F3BD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BDF" w:rsidRDefault="009F3BDF" w:rsidP="008F5C2B">
      <w:r>
        <w:separator/>
      </w:r>
    </w:p>
  </w:footnote>
  <w:footnote w:type="continuationSeparator" w:id="0">
    <w:p w:rsidR="009F3BDF" w:rsidRDefault="009F3BD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9F3BDF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75</Words>
  <Characters>429</Characters>
  <Application>Microsoft Office Word</Application>
  <DocSecurity>0</DocSecurity>
  <Lines>3</Lines>
  <Paragraphs>1</Paragraphs>
  <ScaleCrop>false</ScaleCrop>
  <Company>P R C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2024-08-02T06:38:00Z</dcterms:modified>
</cp:coreProperties>
</file>