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26DA6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6" w:hRule="atLeast"/>
        </w:trPr>
        <w:tc>
          <w:tcPr>
            <w:tcW w:w="705" w:type="dxa"/>
            <w:vAlign w:val="center"/>
          </w:tcPr>
          <w:p w14:paraId="0A2A56E6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1ED0CCFE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1A273360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494A33B0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偏离说明</w:t>
            </w:r>
          </w:p>
          <w:p w14:paraId="5CBDD64C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(无偏离/正偏离/负偏离)</w:t>
            </w:r>
          </w:p>
        </w:tc>
        <w:tc>
          <w:tcPr>
            <w:tcW w:w="992" w:type="dxa"/>
            <w:vAlign w:val="center"/>
          </w:tcPr>
          <w:p w14:paraId="37A5879A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偏离值</w:t>
            </w:r>
          </w:p>
        </w:tc>
      </w:tr>
      <w:tr w14:paraId="65D9C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atLeast"/>
        </w:trPr>
        <w:tc>
          <w:tcPr>
            <w:tcW w:w="705" w:type="dxa"/>
            <w:vAlign w:val="center"/>
          </w:tcPr>
          <w:p w14:paraId="2AF23B8A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39C42">
            <w:pPr>
              <w:widowControl/>
              <w:spacing w:line="240" w:lineRule="atLeas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真空镜箱</w:t>
            </w:r>
          </w:p>
        </w:tc>
        <w:tc>
          <w:tcPr>
            <w:tcW w:w="5105" w:type="dxa"/>
            <w:vAlign w:val="center"/>
          </w:tcPr>
          <w:p w14:paraId="07A1E3C0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数量：1个</w:t>
            </w:r>
          </w:p>
          <w:p w14:paraId="78B3C406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真空主体及其相关各零部件：均采用304牌号（0Cr18Ni9）优质不锈钢材料制成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。</w:t>
            </w:r>
          </w:p>
          <w:p w14:paraId="237420AE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对真空室体及其相关零、部件，均按照超高真空部品的加工工艺规范为准，完成机加工和清洗及组焊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并进行高温除氢处理，内表面粗糙度应当满足：Ra≤0.8μm。</w:t>
            </w:r>
          </w:p>
          <w:p w14:paraId="3916687C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对真空室体及其相关零、部件，所有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锐边倒钝，去尖角、毛刺或飞边；所有元件在焊接和装配前需清洁处理，去除油脂、污物、灰尘等，并干燥保存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。</w:t>
            </w:r>
          </w:p>
          <w:p w14:paraId="6AA70F6F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采用氩弧焊方式完成各真空部件的组焊，焊接要求焊透，焊缝以外无烧熔斑点及焊料流淌，焊接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完成后必须对焊缝进行外观检查，焊缝表面不得有裂缝、气孔、夹渣及咬边等焊接缺陷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。</w:t>
            </w:r>
          </w:p>
          <w:p w14:paraId="6E654799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法兰基本尺寸基于GB/Z 25756-2010，加工完成后要求松套法兰可自由旋转，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真空法兰表面硬度&gt;140HB（提供检测报告），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焊接时法兰螺栓孔在中心线两侧对称分布，不对称度≤0.1mm。</w:t>
            </w:r>
          </w:p>
          <w:p w14:paraId="2BB33C82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镜箱极限真空≤5×10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vertAlign w:val="superscript"/>
              </w:rPr>
              <w:t xml:space="preserve">-5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Pa，漏率≤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superscript"/>
              </w:rPr>
              <w:t xml:space="preserve">-12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Pa·m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superscript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/s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 xml:space="preserve"> (以氦质谱检漏仪的检测结果为准)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。</w:t>
            </w:r>
          </w:p>
          <w:p w14:paraId="29A83C33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真空镜箱进行热处理以消除应力，并提供报告。</w:t>
            </w:r>
          </w:p>
          <w:p w14:paraId="491B0231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甲方提供镜箱初步设计方案，乙方根据甲方提供的初步方案，进行细化，提供solidwork模型文件及加工图纸，经甲方确认后进行加工。</w:t>
            </w:r>
          </w:p>
          <w:p w14:paraId="46EFEAF4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镜箱最终方案需经过受力模拟分析，要求不锈钢板在厚度方向形变应小于厚度的千分之二，分析报告经甲方确认后方可进行加工。</w:t>
            </w:r>
          </w:p>
          <w:p w14:paraId="3920D085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提供镜箱及其内部光学元件支撑件的振动固有频率分析报告，并根据分析结果改进支撑结构。</w:t>
            </w:r>
          </w:p>
          <w:p w14:paraId="00F67B89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提供一个液氮冷阱，冷阱表面温度应能降至 -180°C 以下。</w:t>
            </w:r>
          </w:p>
        </w:tc>
        <w:tc>
          <w:tcPr>
            <w:tcW w:w="1418" w:type="dxa"/>
            <w:vAlign w:val="center"/>
          </w:tcPr>
          <w:p w14:paraId="19D319BB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3D236C6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447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7CEB27F1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B23CA">
            <w:pPr>
              <w:widowControl/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644A9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F241D0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图纸确认后3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个月内</w:t>
            </w:r>
          </w:p>
          <w:p w14:paraId="5658766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一次性交付</w:t>
            </w:r>
          </w:p>
          <w:p w14:paraId="5D6545F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预付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合同总金额的4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货到甲方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验收合格后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支付合同总金额的6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</w:t>
            </w:r>
          </w:p>
          <w:p w14:paraId="1F9F633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提供出厂检测报告，需要包含材料证明、真空检测报告、受力分析报告、振动分析报告。现场验收指标极限真空≤5×10-5 Pa，漏率≤5×10-12 Pa·m3/s</w:t>
            </w:r>
            <w:bookmarkStart w:id="0" w:name="_GoBack"/>
            <w:bookmarkEnd w:id="0"/>
          </w:p>
          <w:p w14:paraId="74599925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质保期一年</w:t>
            </w:r>
          </w:p>
        </w:tc>
        <w:tc>
          <w:tcPr>
            <w:tcW w:w="1418" w:type="dxa"/>
            <w:vAlign w:val="center"/>
          </w:tcPr>
          <w:p w14:paraId="4C7A2B1C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3CA8C0F"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DED7F3B">
      <w:pPr>
        <w:ind w:right="840"/>
        <w:rPr>
          <w:rFonts w:hint="eastAsia" w:ascii="宋体" w:hAnsi="宋体" w:eastAsia="宋体" w:cs="宋体"/>
          <w:sz w:val="24"/>
          <w:szCs w:val="24"/>
        </w:rPr>
      </w:pPr>
    </w:p>
    <w:p w14:paraId="287DDEA5">
      <w:pPr>
        <w:ind w:right="840" w:firstLine="5040" w:firstLineChars="2100"/>
        <w:rPr>
          <w:rFonts w:hint="eastAsia" w:ascii="宋体" w:hAnsi="宋体" w:eastAsia="宋体" w:cs="宋体"/>
          <w:sz w:val="24"/>
          <w:szCs w:val="24"/>
        </w:rPr>
      </w:pPr>
    </w:p>
    <w:p w14:paraId="663E47C9">
      <w:pPr>
        <w:ind w:right="840" w:firstLine="5040" w:firstLineChars="2100"/>
        <w:rPr>
          <w:rFonts w:hint="eastAsia" w:ascii="宋体" w:hAnsi="宋体" w:eastAsia="宋体" w:cs="宋体"/>
          <w:sz w:val="24"/>
          <w:szCs w:val="24"/>
        </w:rPr>
      </w:pPr>
    </w:p>
    <w:p w14:paraId="6B36AD4F">
      <w:pPr>
        <w:ind w:right="840" w:firstLine="5040" w:firstLineChars="2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公司名称（盖章）：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日期：</w:t>
      </w:r>
    </w:p>
    <w:p w14:paraId="24A14097"/>
    <w:p w14:paraId="780FD7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723639"/>
    <w:multiLevelType w:val="multilevel"/>
    <w:tmpl w:val="4A7236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04221"/>
    <w:rsid w:val="25FB09DE"/>
    <w:rsid w:val="50A0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2025-12-10T01:32:00Z</dcterms:created>
  <dc:creator>amour</dc:creator>
  <cp:lastModifiedBy>amour</cp:lastModifiedBy>
  <dcterms:modified xsi:type="dcterms:W3CDTF">2025-12-10T01:36:21Z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2F0BA9C859244A90BEA475CA3DB88DE3_11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