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w:t>
      </w:r>
      <w:r w:rsidR="009E2151">
        <w:rPr>
          <w:rFonts w:hint="eastAsia"/>
          <w:sz w:val="36"/>
        </w:rPr>
        <w:t>及商务条款</w:t>
      </w:r>
      <w:r w:rsidRPr="009C4C31">
        <w:rPr>
          <w:rFonts w:hint="eastAsia"/>
          <w:sz w:val="36"/>
        </w:rPr>
        <w:t>供应商确认表</w:t>
      </w:r>
    </w:p>
    <w:p w:rsidR="00C442AD" w:rsidRDefault="00C442AD"/>
    <w:tbl>
      <w:tblPr>
        <w:tblStyle w:val="a3"/>
        <w:tblW w:w="9781" w:type="dxa"/>
        <w:tblInd w:w="-572" w:type="dxa"/>
        <w:tblLayout w:type="fixed"/>
        <w:tblLook w:val="04A0" w:firstRow="1" w:lastRow="0" w:firstColumn="1" w:lastColumn="0" w:noHBand="0" w:noVBand="1"/>
      </w:tblPr>
      <w:tblGrid>
        <w:gridCol w:w="513"/>
        <w:gridCol w:w="672"/>
        <w:gridCol w:w="5761"/>
        <w:gridCol w:w="1701"/>
        <w:gridCol w:w="1134"/>
      </w:tblGrid>
      <w:tr w:rsidR="007764A7" w:rsidTr="007764A7">
        <w:trPr>
          <w:trHeight w:val="976"/>
        </w:trPr>
        <w:tc>
          <w:tcPr>
            <w:tcW w:w="513" w:type="dxa"/>
            <w:vAlign w:val="center"/>
          </w:tcPr>
          <w:p w:rsidR="00C442AD" w:rsidRPr="009C4C31" w:rsidRDefault="00C442AD" w:rsidP="009C4C31">
            <w:pPr>
              <w:jc w:val="center"/>
              <w:rPr>
                <w:sz w:val="24"/>
              </w:rPr>
            </w:pPr>
            <w:r w:rsidRPr="009C4C31">
              <w:rPr>
                <w:rFonts w:hint="eastAsia"/>
                <w:sz w:val="24"/>
              </w:rPr>
              <w:t>序号</w:t>
            </w:r>
          </w:p>
        </w:tc>
        <w:tc>
          <w:tcPr>
            <w:tcW w:w="672" w:type="dxa"/>
            <w:vAlign w:val="center"/>
          </w:tcPr>
          <w:p w:rsidR="00C442AD" w:rsidRPr="009C4C31" w:rsidRDefault="00C442AD" w:rsidP="009C4C31">
            <w:pPr>
              <w:jc w:val="center"/>
              <w:rPr>
                <w:sz w:val="24"/>
              </w:rPr>
            </w:pPr>
            <w:r w:rsidRPr="009C4C31">
              <w:rPr>
                <w:rFonts w:hint="eastAsia"/>
                <w:sz w:val="24"/>
              </w:rPr>
              <w:t>名称</w:t>
            </w:r>
          </w:p>
        </w:tc>
        <w:tc>
          <w:tcPr>
            <w:tcW w:w="5761"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134" w:type="dxa"/>
            <w:vAlign w:val="center"/>
          </w:tcPr>
          <w:p w:rsidR="00C442AD" w:rsidRPr="009C4C31" w:rsidRDefault="00720BC4" w:rsidP="009C4C31">
            <w:pPr>
              <w:jc w:val="center"/>
              <w:rPr>
                <w:sz w:val="24"/>
              </w:rPr>
            </w:pPr>
            <w:r>
              <w:rPr>
                <w:rFonts w:hint="eastAsia"/>
                <w:sz w:val="24"/>
              </w:rPr>
              <w:t>偏离值</w:t>
            </w:r>
          </w:p>
        </w:tc>
      </w:tr>
      <w:tr w:rsidR="007764A7" w:rsidTr="007764A7">
        <w:trPr>
          <w:trHeight w:val="2974"/>
        </w:trPr>
        <w:tc>
          <w:tcPr>
            <w:tcW w:w="513" w:type="dxa"/>
            <w:vAlign w:val="center"/>
          </w:tcPr>
          <w:p w:rsidR="0013248E" w:rsidRDefault="0013248E" w:rsidP="0013248E">
            <w:pPr>
              <w:jc w:val="center"/>
            </w:pPr>
            <w:r>
              <w:rPr>
                <w:rFonts w:hint="eastAsia"/>
              </w:rPr>
              <w:t>1</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tcPr>
          <w:p w:rsidR="0013248E" w:rsidRPr="008A406B" w:rsidRDefault="008F4ADE" w:rsidP="0013248E">
            <w:pPr>
              <w:widowControl/>
              <w:jc w:val="center"/>
              <w:rPr>
                <w:rFonts w:asciiTheme="minorEastAsia" w:hAnsiTheme="minorEastAsia" w:cs="宋体"/>
                <w:color w:val="000000"/>
                <w:kern w:val="0"/>
              </w:rPr>
            </w:pPr>
            <w:r w:rsidRPr="008F4ADE">
              <w:rPr>
                <w:rFonts w:asciiTheme="minorEastAsia" w:hAnsiTheme="minorEastAsia" w:cs="宋体" w:hint="eastAsia"/>
                <w:color w:val="000000"/>
                <w:kern w:val="0"/>
              </w:rPr>
              <w:t>合肥光源用户个人剂量管理系统</w:t>
            </w:r>
          </w:p>
        </w:tc>
        <w:tc>
          <w:tcPr>
            <w:tcW w:w="5761" w:type="dxa"/>
            <w:tcBorders>
              <w:top w:val="single" w:sz="4" w:space="0" w:color="auto"/>
              <w:left w:val="nil"/>
              <w:bottom w:val="single" w:sz="4" w:space="0" w:color="auto"/>
              <w:right w:val="single" w:sz="4" w:space="0" w:color="auto"/>
            </w:tcBorders>
            <w:shd w:val="clear" w:color="auto" w:fill="auto"/>
            <w:vAlign w:val="center"/>
          </w:tcPr>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用途：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本项目采购的用户个人剂量管理系统，是合肥光源辐射监测系统的重要组成部分，可单独或与被动式个人剂量计配合使用，对合肥光源用户进行个人剂量监测。</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数量：本次采购包含60个个人剂量报警仪和1套个人剂量管理系统。</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技术指标及服务要求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个人剂量报警仪</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(1)探测器类型：半导体探测器</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(2)测量对象：X 射线、γ 射线；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(3)能量范围：30keV～1.5MeV；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(4)相对固有误差：&lt;±15%；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(5)剂量率范围：0.1μSv/h~10mSv/h；</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(6)有效剂量范围：1.0μSv至10Sv；</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(7)能量响应：≤±30%；</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(8)报警阈值：连续可调；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(9)报警方式：声光、振动；</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(10)工作温度：-10℃~40℃；</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(11)续航：续航时间大于240 h；</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(12)数据采集模块通信功能：实现剂量数据及其他信息上传功能；</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(13)抗电磁干扰；</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个人剂量管理系统</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个人剂量管理系统包括管理柜、上位机管理系统、UPS电源、电脑、摄像头等搭建个人剂量管理系统所需的所有软硬件。</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管理柜主要具备以下功能：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(1)容量：管理柜至少可容纳60个个人剂量报警仪；</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(2)借用：通过工卡识别和人脸识别等手段实现人员识别，识别成功后弹开管理柜，进行个人剂量报警仪的借用和归还（与人员绑定）；</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 xml:space="preserve">(3)归还：个人剂量报警仪归还时，读取个人剂量报警仪中的人员姓名、工卡号、累积剂量、报警信号、电量信息、故障状态信号等信息，将上述信息上报至上位机管理系统并加以存储，随后清零累积剂量数据，并将该个人剂量报警仪关机； </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(4)操作管理：操作界面分为用户界面和系统管理员界面。用户界面进行借用和归还。管理员界面通过输入账号、密码进</w:t>
            </w:r>
            <w:r w:rsidRPr="008F4ADE">
              <w:rPr>
                <w:rFonts w:asciiTheme="minorEastAsia" w:hAnsiTheme="minorEastAsia" w:cs="宋体" w:hint="eastAsia"/>
                <w:color w:val="000000"/>
                <w:kern w:val="0"/>
              </w:rPr>
              <w:lastRenderedPageBreak/>
              <w:t>入，对管理柜进行存取、更换个人剂量报警仪等动作；</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(5)电池续航：非充电电池：续航时间不少于两个月；充电电池：个人剂量报警仪归位时管理柜即可对其充电。</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(6)使用寿命：大于10万人次；</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(7)安全监控：管理柜配置一套监控摄像头，监控录像保存时长不小于一个月；</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(8)UPS电源：配置UPS电源，满足个人剂量报警仪管理系统使用时长不少于2小时；</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(9)应急开关：管理柜设有应急开关，在外部电源丧失、UPS耗尽的极端情况下，可使用应急开关取出个人剂量报警仪；</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(10)防锈：正常使用8年以上防锈；</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(11)承重：单个隔间承重不低于1kg；</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上位机管理系统要求：</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(1)对上传的数据与人员、设备信息进行绑定。</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(2)所有数据要存储保留，同时具有本地存储和上位机存储功能，确保数据的安全。</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(3)对人员、权限、日志等信息进行管理，记录登录、操作、异常日志信息。</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(4)可以根据需要按照不同条件查询人员数据和设备数据，通过分析，筛选出符合条件的数据并导出；</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(5)个人剂量报警仪借用授权可根据实际工作情况，进行人员独立授权。可开通长期使用，也可限定使用时间，授权操作均需在上位机管理系统中完成。</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注：报价时投标方需提供的材料如下：</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个人剂量报警仪和管理柜的业绩证明材料。个人剂量报警仪业绩证明材料要求：如果个人剂量报警仪是代理产品，需提供该型号产品的销售业绩（可以是其他公司针对该产品的销售业绩），同时提供制造商或国内总代理商的授权和售后服务承诺；如果个人剂量报警仪是投标方的自营设备，需提供投标方针对该产品的销售业绩。管理柜需为投标方的自营设备，需提供投标方的管理柜的业绩，证明投标方具备设计制作管理柜的能力。</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(2)个人剂量报警仪需提供抗电磁干扰的测试报告。</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(3)个人剂量报警仪需提供相对固有误差的测试报告。</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(4)体现个人剂量报警仪所有参数的厂家产品彩页或官网截图或检测报告，厂家提供厂家产品彩页或官网截图需要彩印加盖公章。</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其他要求:</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(1)电缆连接线需有抗电磁、电离辐射干扰能力；</w:t>
            </w:r>
          </w:p>
          <w:p w:rsidR="008F4ADE" w:rsidRPr="008F4ADE" w:rsidRDefault="008F4ADE" w:rsidP="008F4ADE">
            <w:pPr>
              <w:tabs>
                <w:tab w:val="left" w:pos="6915"/>
              </w:tabs>
              <w:rPr>
                <w:rFonts w:asciiTheme="minorEastAsia" w:hAnsiTheme="minorEastAsia" w:cs="宋体" w:hint="eastAsia"/>
                <w:color w:val="000000"/>
                <w:kern w:val="0"/>
              </w:rPr>
            </w:pPr>
            <w:r w:rsidRPr="008F4ADE">
              <w:rPr>
                <w:rFonts w:asciiTheme="minorEastAsia" w:hAnsiTheme="minorEastAsia" w:cs="宋体" w:hint="eastAsia"/>
                <w:color w:val="000000"/>
                <w:kern w:val="0"/>
              </w:rPr>
              <w:t>(2)提供仪器相关操作软件、相关安装配件；</w:t>
            </w:r>
          </w:p>
          <w:p w:rsidR="007764A7" w:rsidRPr="007764A7"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(3)技术服务：仪器制造商授权的技术人员现场开箱、安装、线缆铺设、调试。</w:t>
            </w:r>
          </w:p>
        </w:tc>
        <w:tc>
          <w:tcPr>
            <w:tcW w:w="1701" w:type="dxa"/>
            <w:vAlign w:val="center"/>
          </w:tcPr>
          <w:p w:rsidR="0013248E" w:rsidRDefault="0013248E" w:rsidP="0013248E">
            <w:pPr>
              <w:jc w:val="center"/>
            </w:pPr>
          </w:p>
        </w:tc>
        <w:tc>
          <w:tcPr>
            <w:tcW w:w="1134" w:type="dxa"/>
            <w:vAlign w:val="center"/>
          </w:tcPr>
          <w:p w:rsidR="0013248E" w:rsidRDefault="0013248E" w:rsidP="0013248E">
            <w:pPr>
              <w:jc w:val="center"/>
            </w:pPr>
          </w:p>
        </w:tc>
      </w:tr>
      <w:tr w:rsidR="007764A7" w:rsidTr="007764A7">
        <w:trPr>
          <w:trHeight w:val="2395"/>
        </w:trPr>
        <w:tc>
          <w:tcPr>
            <w:tcW w:w="513" w:type="dxa"/>
            <w:vAlign w:val="center"/>
          </w:tcPr>
          <w:p w:rsidR="00A95B25" w:rsidRDefault="00A95B25" w:rsidP="00A95B25">
            <w:pPr>
              <w:jc w:val="center"/>
            </w:pPr>
            <w:r>
              <w:rPr>
                <w:rFonts w:hint="eastAsia"/>
              </w:rPr>
              <w:lastRenderedPageBreak/>
              <w:t>2</w:t>
            </w:r>
          </w:p>
        </w:tc>
        <w:tc>
          <w:tcPr>
            <w:tcW w:w="672" w:type="dxa"/>
            <w:vAlign w:val="center"/>
          </w:tcPr>
          <w:p w:rsidR="00A95B25" w:rsidRPr="00C31430" w:rsidRDefault="009E2151" w:rsidP="009E2151">
            <w:pPr>
              <w:spacing w:line="276" w:lineRule="auto"/>
              <w:jc w:val="center"/>
              <w:rPr>
                <w:rFonts w:ascii="宋体" w:hAnsi="宋体" w:cs="宋体"/>
                <w:bCs/>
                <w:szCs w:val="21"/>
              </w:rPr>
            </w:pPr>
            <w:r>
              <w:rPr>
                <w:rFonts w:ascii="宋体" w:hAnsi="宋体" w:cs="宋体" w:hint="eastAsia"/>
                <w:bCs/>
                <w:szCs w:val="21"/>
              </w:rPr>
              <w:t>商务条款</w:t>
            </w:r>
          </w:p>
        </w:tc>
        <w:tc>
          <w:tcPr>
            <w:tcW w:w="5761" w:type="dxa"/>
            <w:vAlign w:val="center"/>
          </w:tcPr>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交货期：合同签订后，9个月内完成备货，在接到甲方交货安装通知7日内，将货物送达至指定地点。交货完成后，3个月内完成产品的安装、调试、验收、培训。</w:t>
            </w:r>
          </w:p>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交付方式：乙方负责所有设备的运输、现场就位、安装工作，并承担相应费用。</w:t>
            </w:r>
          </w:p>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付款方式：合同签订2</w:t>
            </w:r>
            <w:r w:rsidRPr="008F4ADE">
              <w:rPr>
                <w:rFonts w:asciiTheme="minorEastAsia" w:hAnsiTheme="minorEastAsia" w:cs="宋体"/>
                <w:color w:val="000000"/>
                <w:kern w:val="0"/>
              </w:rPr>
              <w:t>0个工作日内</w:t>
            </w:r>
            <w:r w:rsidRPr="008F4ADE">
              <w:rPr>
                <w:rFonts w:asciiTheme="minorEastAsia" w:hAnsiTheme="minorEastAsia" w:cs="宋体" w:hint="eastAsia"/>
                <w:color w:val="000000"/>
                <w:kern w:val="0"/>
              </w:rPr>
              <w:t>甲方预付合同总金额的50%，货到验收合格且收到乙方提供的全额发票后，甲方付清尾款。</w:t>
            </w:r>
          </w:p>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验收指标及验收要求：</w:t>
            </w:r>
          </w:p>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(1)合同签订后，乙方按照甲方的要求，完成设备采购和加工。</w:t>
            </w:r>
          </w:p>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(2)乙方交货时需提交有资质的第三方出具的个人剂量报警仪的检定报告。</w:t>
            </w:r>
          </w:p>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(3)</w:t>
            </w:r>
            <w:bookmarkStart w:id="0" w:name="_GoBack"/>
            <w:bookmarkEnd w:id="0"/>
            <w:r w:rsidRPr="008F4ADE">
              <w:rPr>
                <w:rFonts w:asciiTheme="minorEastAsia" w:hAnsiTheme="minorEastAsia" w:cs="宋体" w:hint="eastAsia"/>
                <w:color w:val="000000"/>
                <w:kern w:val="0"/>
              </w:rPr>
              <w:t>个人剂量管理系统进行完整的功能性测试。</w:t>
            </w:r>
          </w:p>
          <w:p w:rsidR="008F4ADE" w:rsidRPr="008F4ADE" w:rsidRDefault="008F4ADE" w:rsidP="008F4ADE">
            <w:pPr>
              <w:tabs>
                <w:tab w:val="left" w:pos="6915"/>
              </w:tabs>
              <w:rPr>
                <w:rFonts w:asciiTheme="minorEastAsia" w:hAnsiTheme="minorEastAsia" w:cs="宋体"/>
                <w:color w:val="000000"/>
                <w:kern w:val="0"/>
              </w:rPr>
            </w:pPr>
            <w:r w:rsidRPr="008F4ADE">
              <w:rPr>
                <w:rFonts w:asciiTheme="minorEastAsia" w:hAnsiTheme="minorEastAsia" w:cs="宋体" w:hint="eastAsia"/>
                <w:color w:val="000000"/>
                <w:kern w:val="0"/>
              </w:rPr>
              <w:t>保修及售后服务：</w:t>
            </w:r>
          </w:p>
          <w:p w:rsidR="00A95B25" w:rsidRPr="009E2151" w:rsidRDefault="008F4ADE" w:rsidP="008F4ADE">
            <w:pPr>
              <w:tabs>
                <w:tab w:val="left" w:pos="6915"/>
              </w:tabs>
              <w:rPr>
                <w:rFonts w:ascii="宋体" w:hAnsi="宋体" w:cs="宋体"/>
                <w:bCs/>
                <w:szCs w:val="21"/>
              </w:rPr>
            </w:pPr>
            <w:r w:rsidRPr="008F4ADE">
              <w:rPr>
                <w:rFonts w:asciiTheme="minorEastAsia" w:hAnsiTheme="minorEastAsia" w:cs="宋体" w:hint="eastAsia"/>
                <w:color w:val="000000"/>
                <w:kern w:val="0"/>
              </w:rPr>
              <w:t>产品质保期为12个月，时间自验收合格之日起计算。质保期内货物出现质量问题的，乙方应在3日内以更换等方式解决，并承担相应费用。</w:t>
            </w:r>
          </w:p>
        </w:tc>
        <w:tc>
          <w:tcPr>
            <w:tcW w:w="1701" w:type="dxa"/>
            <w:vAlign w:val="center"/>
          </w:tcPr>
          <w:p w:rsidR="00A95B25" w:rsidRDefault="00A95B25" w:rsidP="00A95B25">
            <w:pPr>
              <w:jc w:val="center"/>
            </w:pPr>
          </w:p>
        </w:tc>
        <w:tc>
          <w:tcPr>
            <w:tcW w:w="1134" w:type="dxa"/>
            <w:vAlign w:val="center"/>
          </w:tcPr>
          <w:p w:rsidR="00A95B25" w:rsidRDefault="00A95B25" w:rsidP="00A95B25">
            <w:pPr>
              <w:jc w:val="center"/>
            </w:pPr>
          </w:p>
        </w:tc>
      </w:tr>
    </w:tbl>
    <w:p w:rsidR="00FC7C08" w:rsidRDefault="00FC7C08" w:rsidP="00FC7C08">
      <w:pPr>
        <w:ind w:right="840" w:firstLineChars="2500" w:firstLine="600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2E518A">
      <w:pPr>
        <w:ind w:right="8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51C" w:rsidRDefault="003C151C" w:rsidP="008F5C2B">
      <w:r>
        <w:separator/>
      </w:r>
    </w:p>
  </w:endnote>
  <w:endnote w:type="continuationSeparator" w:id="0">
    <w:p w:rsidR="003C151C" w:rsidRDefault="003C151C"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51C" w:rsidRDefault="003C151C" w:rsidP="008F5C2B">
      <w:r>
        <w:separator/>
      </w:r>
    </w:p>
  </w:footnote>
  <w:footnote w:type="continuationSeparator" w:id="0">
    <w:p w:rsidR="003C151C" w:rsidRDefault="003C151C"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75F4E84"/>
    <w:multiLevelType w:val="singleLevel"/>
    <w:tmpl w:val="875F4E84"/>
    <w:lvl w:ilvl="0">
      <w:start w:val="1"/>
      <w:numFmt w:val="decimal"/>
      <w:suff w:val="nothing"/>
      <w:lvlText w:val="%1、"/>
      <w:lvlJc w:val="left"/>
    </w:lvl>
  </w:abstractNum>
  <w:abstractNum w:abstractNumId="1">
    <w:nsid w:val="CF1A3D61"/>
    <w:multiLevelType w:val="singleLevel"/>
    <w:tmpl w:val="CF1A3D61"/>
    <w:lvl w:ilvl="0">
      <w:start w:val="1"/>
      <w:numFmt w:val="lowerLetter"/>
      <w:suff w:val="nothing"/>
      <w:lvlText w:val="%1）"/>
      <w:lvlJc w:val="left"/>
    </w:lvl>
  </w:abstractNum>
  <w:abstractNum w:abstractNumId="2">
    <w:nsid w:val="F5241E0A"/>
    <w:multiLevelType w:val="singleLevel"/>
    <w:tmpl w:val="F5241E0A"/>
    <w:lvl w:ilvl="0">
      <w:start w:val="2"/>
      <w:numFmt w:val="chineseCounting"/>
      <w:suff w:val="nothing"/>
      <w:lvlText w:val="%1、"/>
      <w:lvlJc w:val="left"/>
      <w:rPr>
        <w:rFonts w:hint="eastAsia"/>
      </w:rPr>
    </w:lvl>
  </w:abstractNum>
  <w:abstractNum w:abstractNumId="3">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4">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A5BDB26"/>
    <w:multiLevelType w:val="singleLevel"/>
    <w:tmpl w:val="6A5BDB26"/>
    <w:lvl w:ilvl="0">
      <w:start w:val="1"/>
      <w:numFmt w:val="decimal"/>
      <w:suff w:val="nothing"/>
      <w:lvlText w:val="%1）"/>
      <w:lvlJc w:val="left"/>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0A229B"/>
    <w:rsid w:val="001241BC"/>
    <w:rsid w:val="0013248E"/>
    <w:rsid w:val="00183E27"/>
    <w:rsid w:val="00261EE1"/>
    <w:rsid w:val="002D1729"/>
    <w:rsid w:val="002E518A"/>
    <w:rsid w:val="00354099"/>
    <w:rsid w:val="00396792"/>
    <w:rsid w:val="003C151C"/>
    <w:rsid w:val="003C15BD"/>
    <w:rsid w:val="00421D8A"/>
    <w:rsid w:val="004B0D2F"/>
    <w:rsid w:val="00523CC2"/>
    <w:rsid w:val="00566372"/>
    <w:rsid w:val="005863B7"/>
    <w:rsid w:val="005F7E7B"/>
    <w:rsid w:val="00642CDA"/>
    <w:rsid w:val="00670B3D"/>
    <w:rsid w:val="00684CF5"/>
    <w:rsid w:val="00705387"/>
    <w:rsid w:val="00720BC4"/>
    <w:rsid w:val="007230C5"/>
    <w:rsid w:val="00726C8D"/>
    <w:rsid w:val="007734FE"/>
    <w:rsid w:val="007764A7"/>
    <w:rsid w:val="00811B08"/>
    <w:rsid w:val="008C1295"/>
    <w:rsid w:val="008F4ADE"/>
    <w:rsid w:val="008F5C2B"/>
    <w:rsid w:val="009149BA"/>
    <w:rsid w:val="00961437"/>
    <w:rsid w:val="009C4C31"/>
    <w:rsid w:val="009E2151"/>
    <w:rsid w:val="00A01094"/>
    <w:rsid w:val="00A95B25"/>
    <w:rsid w:val="00B76754"/>
    <w:rsid w:val="00B7785A"/>
    <w:rsid w:val="00BB1FE0"/>
    <w:rsid w:val="00C34D8C"/>
    <w:rsid w:val="00C442AD"/>
    <w:rsid w:val="00D81354"/>
    <w:rsid w:val="00D85C5F"/>
    <w:rsid w:val="00E930C8"/>
    <w:rsid w:val="00EC0EF4"/>
    <w:rsid w:val="00F855E3"/>
    <w:rsid w:val="00FC7C08"/>
    <w:rsid w:val="00FD5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313</Words>
  <Characters>1787</Characters>
  <Application>Microsoft Office Word</Application>
  <DocSecurity>0</DocSecurity>
  <Lines>14</Lines>
  <Paragraphs>4</Paragraphs>
  <ScaleCrop>false</ScaleCrop>
  <Company>P R C</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26</cp:revision>
  <dcterms:created xsi:type="dcterms:W3CDTF">2022-07-28T06:35:00Z</dcterms:created>
  <dcterms:modified xsi:type="dcterms:W3CDTF">2024-10-21T08:17:00Z</dcterms:modified>
</cp:coreProperties>
</file>