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真空系统配件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FF22473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此次</w:t>
            </w:r>
            <w:r>
              <w:rPr>
                <w:kern w:val="0"/>
                <w:szCs w:val="21"/>
              </w:rPr>
              <w:t>采购的真空配件包括：1、辐射加热样品托2个；2、旗形样品辐射加热样品托2个；3、钛升华泵灯丝4根；4、马达控制器</w:t>
            </w:r>
            <w:r>
              <w:rPr>
                <w:rFonts w:hint="eastAsia"/>
                <w:kern w:val="0"/>
                <w:szCs w:val="21"/>
              </w:rPr>
              <w:t>板卡</w:t>
            </w:r>
            <w:r>
              <w:rPr>
                <w:kern w:val="0"/>
                <w:szCs w:val="21"/>
              </w:rPr>
              <w:t>2个；5、真空计1套。</w:t>
            </w:r>
            <w:r>
              <w:rPr>
                <w:rFonts w:hint="eastAsia"/>
                <w:kern w:val="0"/>
                <w:szCs w:val="21"/>
              </w:rPr>
              <w:t>技术要求如下：</w:t>
            </w:r>
          </w:p>
          <w:p w14:paraId="76633E61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1、辐射加热样品托</w:t>
            </w:r>
          </w:p>
          <w:p w14:paraId="176D41E5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（1）样品托变温范围：</w:t>
            </w:r>
            <w:r>
              <w:rPr>
                <w:kern w:val="0"/>
                <w:szCs w:val="21"/>
              </w:rPr>
              <w:t>-17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℃~1000℃</w:t>
            </w:r>
            <w:r>
              <w:rPr>
                <w:rFonts w:hint="eastAsia"/>
                <w:kern w:val="0"/>
                <w:szCs w:val="21"/>
              </w:rPr>
              <w:t>；</w:t>
            </w:r>
          </w:p>
          <w:p w14:paraId="4FA29210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（2）配备K型热电偶；</w:t>
            </w:r>
          </w:p>
          <w:p w14:paraId="5A6A8ACD">
            <w:pPr>
              <w:tabs>
                <w:tab w:val="left" w:pos="6915"/>
              </w:tabs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（3）样品托台面材质：钼；</w:t>
            </w:r>
          </w:p>
          <w:p w14:paraId="3ADF43AD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（4）兼容当前催化与表面科学实验站的PREVAC样品架，如下图所示。</w:t>
            </w:r>
          </w:p>
          <w:p w14:paraId="3A8BA6FC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drawing>
                <wp:inline distT="0" distB="0" distL="0" distR="0">
                  <wp:extent cx="2687320" cy="1272540"/>
                  <wp:effectExtent l="0" t="0" r="17780" b="3810"/>
                  <wp:docPr id="4706427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064274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271" cy="1279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5EB959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2、旗形样品辐射加热样品托</w:t>
            </w:r>
          </w:p>
          <w:p w14:paraId="10FA5CCA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（1）样品托变温范围：</w:t>
            </w:r>
            <w:r>
              <w:rPr>
                <w:kern w:val="0"/>
                <w:szCs w:val="21"/>
              </w:rPr>
              <w:t>-17</w:t>
            </w:r>
            <w:r>
              <w:rPr>
                <w:rFonts w:hint="eastAsia"/>
                <w:kern w:val="0"/>
                <w:szCs w:val="21"/>
              </w:rPr>
              <w:t>0</w:t>
            </w:r>
            <w:r>
              <w:rPr>
                <w:kern w:val="0"/>
                <w:szCs w:val="21"/>
              </w:rPr>
              <w:t>℃~1000℃</w:t>
            </w:r>
            <w:r>
              <w:rPr>
                <w:rFonts w:hint="eastAsia"/>
                <w:kern w:val="0"/>
                <w:szCs w:val="21"/>
              </w:rPr>
              <w:t>；</w:t>
            </w:r>
          </w:p>
          <w:p w14:paraId="6FC66A67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（2）配备K型热电偶；</w:t>
            </w:r>
          </w:p>
          <w:p w14:paraId="29ECD406">
            <w:pPr>
              <w:tabs>
                <w:tab w:val="left" w:pos="6915"/>
              </w:tabs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（3）样品托台面材质：钼；</w:t>
            </w:r>
          </w:p>
          <w:p w14:paraId="6855A9E3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（4）样品托兼容旗形样品托（</w:t>
            </w:r>
            <w:r>
              <w:rPr>
                <w:kern w:val="0"/>
                <w:szCs w:val="21"/>
              </w:rPr>
              <w:t>flag style sample holders</w:t>
            </w:r>
            <w:r>
              <w:rPr>
                <w:rFonts w:hint="eastAsia"/>
                <w:kern w:val="0"/>
                <w:szCs w:val="21"/>
              </w:rPr>
              <w:t>）；</w:t>
            </w:r>
          </w:p>
          <w:p w14:paraId="0AD63D71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（5）兼容当前催化与表面科学实验站的PREVAC样品架，如下图所示。</w:t>
            </w:r>
          </w:p>
          <w:p w14:paraId="57FFBF16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drawing>
                <wp:inline distT="0" distB="0" distL="0" distR="0">
                  <wp:extent cx="2687320" cy="1272540"/>
                  <wp:effectExtent l="0" t="0" r="17780" b="3810"/>
                  <wp:docPr id="130309331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309331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271" cy="1279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6DF49D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3、</w:t>
            </w:r>
            <w:r>
              <w:rPr>
                <w:kern w:val="0"/>
                <w:szCs w:val="21"/>
              </w:rPr>
              <w:t>钛升华泵灯丝</w:t>
            </w:r>
          </w:p>
          <w:p w14:paraId="0BCAF184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（1）最大电流50A；</w:t>
            </w:r>
          </w:p>
          <w:p w14:paraId="52F3696A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（2）兼容当前催化与表面科学实验站的PREVAC真空系统。</w:t>
            </w:r>
          </w:p>
          <w:p w14:paraId="566A14B3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4、</w:t>
            </w:r>
            <w:r>
              <w:rPr>
                <w:kern w:val="0"/>
                <w:szCs w:val="21"/>
              </w:rPr>
              <w:t>马达控制器</w:t>
            </w:r>
            <w:r>
              <w:rPr>
                <w:rFonts w:hint="eastAsia"/>
                <w:kern w:val="0"/>
                <w:szCs w:val="21"/>
              </w:rPr>
              <w:t>板卡</w:t>
            </w:r>
          </w:p>
          <w:p w14:paraId="251F00F7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（1）包含限位开及马达控制线接头；</w:t>
            </w:r>
          </w:p>
          <w:p w14:paraId="50F0B957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（2）兼容当前催化与表面科学实验站的PREVAC样品架马达控制器（型号SMC-6A）。</w:t>
            </w:r>
          </w:p>
          <w:p w14:paraId="4E2B6C63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5、</w:t>
            </w:r>
            <w:r>
              <w:rPr>
                <w:kern w:val="0"/>
                <w:szCs w:val="21"/>
              </w:rPr>
              <w:t>真空计</w:t>
            </w:r>
          </w:p>
          <w:p w14:paraId="54ECAE61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（1）</w:t>
            </w:r>
            <w:r>
              <w:rPr>
                <w:kern w:val="0"/>
                <w:szCs w:val="21"/>
              </w:rPr>
              <w:t>输入</w:t>
            </w:r>
            <w:bookmarkStart w:id="0" w:name="OLE_LINK1"/>
            <w:r>
              <w:rPr>
                <w:kern w:val="0"/>
                <w:szCs w:val="21"/>
              </w:rPr>
              <w:t>通道4个</w:t>
            </w:r>
            <w:bookmarkEnd w:id="0"/>
            <w:r>
              <w:rPr>
                <w:rFonts w:hint="eastAsia"/>
                <w:kern w:val="0"/>
                <w:szCs w:val="21"/>
              </w:rPr>
              <w:t>；</w:t>
            </w:r>
          </w:p>
          <w:p w14:paraId="2EFAE9D9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（2）</w:t>
            </w:r>
            <w:r>
              <w:rPr>
                <w:kern w:val="0"/>
                <w:szCs w:val="21"/>
              </w:rPr>
              <w:t>显示范围</w:t>
            </w:r>
            <w:r>
              <w:rPr>
                <w:rFonts w:hint="eastAsia"/>
                <w:kern w:val="0"/>
                <w:szCs w:val="21"/>
              </w:rPr>
              <w:t>为</w:t>
            </w:r>
            <w:r>
              <w:rPr>
                <w:kern w:val="0"/>
                <w:szCs w:val="21"/>
              </w:rPr>
              <w:t>2×10</w:t>
            </w:r>
            <w:r>
              <w:rPr>
                <w:kern w:val="0"/>
                <w:szCs w:val="21"/>
                <w:vertAlign w:val="superscript"/>
              </w:rPr>
              <w:t>-12</w:t>
            </w:r>
            <w:r>
              <w:rPr>
                <w:kern w:val="0"/>
                <w:szCs w:val="21"/>
              </w:rPr>
              <w:t xml:space="preserve"> ~ 2×10</w:t>
            </w:r>
            <w:r>
              <w:rPr>
                <w:kern w:val="0"/>
                <w:szCs w:val="21"/>
                <w:vertAlign w:val="superscript"/>
              </w:rPr>
              <w:t>5</w:t>
            </w:r>
            <w:r>
              <w:rPr>
                <w:kern w:val="0"/>
                <w:szCs w:val="21"/>
              </w:rPr>
              <w:t xml:space="preserve"> mbar</w:t>
            </w:r>
            <w:r>
              <w:rPr>
                <w:rFonts w:hint="eastAsia"/>
                <w:kern w:val="0"/>
                <w:szCs w:val="21"/>
              </w:rPr>
              <w:t>；</w:t>
            </w:r>
          </w:p>
          <w:p w14:paraId="5EF2FB3A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（3）</w:t>
            </w:r>
            <w:r>
              <w:rPr>
                <w:kern w:val="0"/>
                <w:szCs w:val="21"/>
              </w:rPr>
              <w:t>模拟输出通道4个</w:t>
            </w: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>0-10 V</w:t>
            </w:r>
            <w:r>
              <w:rPr>
                <w:rFonts w:hint="eastAsia"/>
                <w:kern w:val="0"/>
                <w:szCs w:val="21"/>
              </w:rPr>
              <w:t>）；</w:t>
            </w:r>
          </w:p>
          <w:p w14:paraId="107CE58E">
            <w:pPr>
              <w:tabs>
                <w:tab w:val="left" w:pos="6915"/>
              </w:tabs>
              <w:jc w:val="left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（4）通讯接口</w:t>
            </w:r>
            <w:r>
              <w:rPr>
                <w:kern w:val="0"/>
                <w:szCs w:val="21"/>
              </w:rPr>
              <w:t>RS232/485</w:t>
            </w:r>
            <w:r>
              <w:rPr>
                <w:rFonts w:hint="eastAsia"/>
                <w:kern w:val="0"/>
                <w:szCs w:val="21"/>
              </w:rPr>
              <w:t>，通讯协议</w:t>
            </w:r>
            <w:r>
              <w:rPr>
                <w:kern w:val="0"/>
                <w:szCs w:val="21"/>
              </w:rPr>
              <w:t>MODBUS-TCP</w:t>
            </w:r>
          </w:p>
          <w:p w14:paraId="7F1D5C75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（4）兼容当前</w:t>
            </w:r>
            <w:r>
              <w:rPr>
                <w:kern w:val="0"/>
                <w:szCs w:val="21"/>
              </w:rPr>
              <w:t>角分辨光电子能谱</w:t>
            </w:r>
            <w:r>
              <w:rPr>
                <w:rFonts w:hint="eastAsia"/>
                <w:kern w:val="0"/>
                <w:szCs w:val="21"/>
              </w:rPr>
              <w:t>实验站</w:t>
            </w:r>
            <w:r>
              <w:rPr>
                <w:kern w:val="0"/>
                <w:szCs w:val="21"/>
              </w:rPr>
              <w:t>的</w:t>
            </w:r>
            <w:r>
              <w:rPr>
                <w:rFonts w:hint="eastAsia"/>
                <w:kern w:val="0"/>
                <w:szCs w:val="21"/>
              </w:rPr>
              <w:t>PREVAC真空</w:t>
            </w:r>
            <w:r>
              <w:rPr>
                <w:kern w:val="0"/>
                <w:szCs w:val="21"/>
              </w:rPr>
              <w:t>系统</w:t>
            </w:r>
            <w:r>
              <w:rPr>
                <w:rFonts w:hint="eastAsia"/>
                <w:kern w:val="0"/>
                <w:szCs w:val="21"/>
              </w:rPr>
              <w:t>；</w:t>
            </w:r>
          </w:p>
          <w:p w14:paraId="525D6472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（5）包含配套离子规一个。</w:t>
            </w:r>
          </w:p>
          <w:p w14:paraId="34572C69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3E482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</w:rPr>
              <w:t>签订合同后6个月内</w:t>
            </w:r>
          </w:p>
          <w:p w14:paraId="74A88A96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</w:rPr>
              <w:t>一次性交付</w:t>
            </w:r>
          </w:p>
          <w:p w14:paraId="063DF81A">
            <w:pPr>
              <w:tabs>
                <w:tab w:val="left" w:pos="6915"/>
              </w:tabs>
              <w:jc w:val="left"/>
              <w:rPr>
                <w:kern w:val="0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kern w:val="0"/>
                <w:szCs w:val="21"/>
              </w:rPr>
              <w:t>合同签订后，支付30%货款，发货前凭运单支付60%货款，货到验收后支付剩余10%货款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  <w:p w14:paraId="6D36D77A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提供出厂合格证或者出厂测试报告。</w:t>
            </w:r>
          </w:p>
          <w:p w14:paraId="3F50581B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自货物验收合格后，免费保修期为12个月。质保期内，非人为故障所需更换的零配件，不另收取人工费和差旅费。</w:t>
            </w:r>
            <w:bookmarkStart w:id="1" w:name="_GoBack"/>
            <w:bookmarkEnd w:id="1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31BA1489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2026-07-06T09:07:40Z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