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2"/>
                <w:szCs w:val="22"/>
              </w:rPr>
              <w:t>网络分析仪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8AAD73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1、硬件与频率规格</w:t>
            </w:r>
          </w:p>
          <w:p w14:paraId="712D06BE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频率范围：100 kHz 至 26.5 GHz；</w:t>
            </w:r>
          </w:p>
          <w:p w14:paraId="67688B6D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端口数量：4 端口；</w:t>
            </w:r>
          </w:p>
          <w:p w14:paraId="30B9BDB9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端口连接器类型：3.5 mm，特性阻抗 50Ω；</w:t>
            </w:r>
          </w:p>
          <w:p w14:paraId="60B035FA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频率分辨率：≤ 1 Hz；</w:t>
            </w:r>
          </w:p>
          <w:p w14:paraId="6313948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输出功率范围：-40 dBm 至 +10 dBm；</w:t>
            </w:r>
          </w:p>
          <w:p w14:paraId="01350D2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2、接收机与测量性能</w:t>
            </w:r>
          </w:p>
          <w:p w14:paraId="6B46676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中频带宽：1 Hz至10 MHz；</w:t>
            </w:r>
          </w:p>
          <w:p w14:paraId="06FA039C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扫描点数：≥ 40,001 点；</w:t>
            </w:r>
          </w:p>
          <w:p w14:paraId="40693C3B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3、测量功能与软件选件</w:t>
            </w:r>
          </w:p>
          <w:p w14:paraId="203884FE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配备TDR 时域分析功能选件，支持阻抗、距离、反射系数等参数测量；</w:t>
            </w:r>
          </w:p>
          <w:p w14:paraId="3352CAC8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提供与端口匹配的校准套件；</w:t>
            </w:r>
          </w:p>
          <w:p w14:paraId="0A3A3194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4、接口与远程控制</w:t>
            </w:r>
          </w:p>
          <w:p w14:paraId="758CA2D9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本地接口：支持LAN、USB 接口；</w:t>
            </w:r>
          </w:p>
          <w:p w14:paraId="2F5065DB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远程控制：支持Web Control远程操作，可通过浏览器进行全功能控制；</w:t>
            </w:r>
          </w:p>
          <w:p w14:paraId="5B77A3F1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i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iCs/>
                <w:szCs w:val="21"/>
              </w:rPr>
              <w:t>程控指令：支持标准SCPI指令集，提供编程手册及驱动</w:t>
            </w:r>
            <w:r>
              <w:rPr>
                <w:rFonts w:hint="eastAsia" w:ascii="宋体" w:hAnsi="宋体" w:cs="宋体"/>
                <w:iCs/>
                <w:szCs w:val="21"/>
                <w:lang w:eastAsia="zh-CN"/>
              </w:rPr>
              <w:t>。</w:t>
            </w:r>
          </w:p>
          <w:p w14:paraId="34192C01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iCs/>
                <w:szCs w:val="21"/>
                <w:lang w:val="en-US" w:eastAsia="zh-CN"/>
              </w:rPr>
              <w:t>数量：1台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EF84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iCs/>
                <w:szCs w:val="21"/>
              </w:rPr>
              <w:t>合同签订后3个月内</w:t>
            </w:r>
            <w:r>
              <w:rPr>
                <w:rFonts w:hint="eastAsia"/>
                <w:szCs w:val="21"/>
              </w:rPr>
              <w:t>将货物送达至甲方指定地点</w:t>
            </w:r>
            <w:r>
              <w:rPr>
                <w:rFonts w:hint="eastAsia" w:ascii="宋体" w:hAnsi="宋体" w:cs="宋体"/>
                <w:iCs/>
                <w:szCs w:val="21"/>
              </w:rPr>
              <w:t>。</w:t>
            </w:r>
          </w:p>
          <w:p w14:paraId="0D4B9CE9">
            <w:p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支付合同总额的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50%，货到验收后凭发票报销时付尾款。</w:t>
            </w:r>
          </w:p>
          <w:p w14:paraId="261C4DF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iCs/>
                <w:szCs w:val="21"/>
              </w:rPr>
              <w:t>由原厂提供质量合格证。</w:t>
            </w:r>
          </w:p>
          <w:p w14:paraId="09CDA185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36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按厂家国家通常三包质保和售后，以两个时间中更长的时间质保。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17F0080D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1278</Words>
  <Characters>1418</Characters>
  <Lines>11</Lines>
  <Paragraphs>3</Paragraphs>
  <TotalTime>0</TotalTime>
  <ScaleCrop>false</ScaleCrop>
  <LinksUpToDate>false</LinksUpToDate>
  <CharactersWithSpaces>1458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2026-04-13T09:06:10Z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