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PBPM探测片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FF22473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b w:val="0"/>
                <w:bCs w:val="0"/>
                <w:szCs w:val="21"/>
              </w:rPr>
              <w:t>采购数量： 84片</w:t>
            </w:r>
          </w:p>
          <w:p w14:paraId="7D2452AA">
            <w:pPr>
              <w:widowControl/>
              <w:rPr>
                <w:b w:val="0"/>
                <w:bCs/>
                <w:szCs w:val="21"/>
              </w:rPr>
            </w:pPr>
            <w:r>
              <w:rPr>
                <w:b w:val="0"/>
                <w:bCs/>
                <w:szCs w:val="21"/>
              </w:rPr>
              <w:t>一、基底的技术要求</w:t>
            </w:r>
          </w:p>
          <w:p w14:paraId="7584423C">
            <w:pPr>
              <w:pStyle w:val="11"/>
              <w:widowControl/>
              <w:numPr>
                <w:ilvl w:val="0"/>
                <w:numId w:val="1"/>
              </w:numPr>
              <w:ind w:firstLineChars="0"/>
              <w:rPr>
                <w:rFonts w:ascii="Times New Roman" w:hAnsi="Times New Roman"/>
                <w:b w:val="0"/>
                <w:bCs/>
                <w:szCs w:val="21"/>
              </w:rPr>
            </w:pPr>
            <w:r>
              <w:rPr>
                <w:rFonts w:ascii="Times New Roman" w:hAnsi="Times New Roman"/>
                <w:b w:val="0"/>
                <w:bCs/>
                <w:szCs w:val="21"/>
              </w:rPr>
              <w:t>材料：多晶金刚石；</w:t>
            </w:r>
          </w:p>
          <w:p w14:paraId="6DEDE903">
            <w:pPr>
              <w:pStyle w:val="11"/>
              <w:widowControl/>
              <w:numPr>
                <w:ilvl w:val="0"/>
                <w:numId w:val="1"/>
              </w:numPr>
              <w:ind w:firstLineChars="0"/>
              <w:rPr>
                <w:rFonts w:ascii="Times New Roman" w:hAnsi="Times New Roman"/>
                <w:b w:val="0"/>
                <w:bCs/>
                <w:szCs w:val="21"/>
              </w:rPr>
            </w:pPr>
            <w:r>
              <w:rPr>
                <w:rFonts w:ascii="Times New Roman" w:hAnsi="Times New Roman"/>
                <w:b w:val="0"/>
                <w:bCs/>
                <w:szCs w:val="21"/>
              </w:rPr>
              <w:t>外形尺寸：刀片形，见图1，尺寸精度±0.1mm，角度精度±0.1°；</w:t>
            </w:r>
          </w:p>
          <w:p w14:paraId="5B11039C">
            <w:pPr>
              <w:pStyle w:val="11"/>
              <w:widowControl/>
              <w:numPr>
                <w:ilvl w:val="0"/>
                <w:numId w:val="1"/>
              </w:numPr>
              <w:ind w:firstLineChars="0"/>
              <w:rPr>
                <w:rFonts w:ascii="Times New Roman" w:hAnsi="Times New Roman"/>
                <w:b w:val="0"/>
                <w:bCs/>
                <w:szCs w:val="21"/>
              </w:rPr>
            </w:pPr>
            <w:r>
              <w:rPr>
                <w:rFonts w:ascii="Times New Roman" w:hAnsi="Times New Roman"/>
                <w:b w:val="0"/>
                <w:bCs/>
                <w:szCs w:val="21"/>
              </w:rPr>
              <w:t>厚度： 0.25mm±0.05mm；</w:t>
            </w:r>
          </w:p>
          <w:p w14:paraId="36C46AB0">
            <w:pPr>
              <w:pStyle w:val="11"/>
              <w:widowControl/>
              <w:numPr>
                <w:ilvl w:val="0"/>
                <w:numId w:val="1"/>
              </w:numPr>
              <w:ind w:firstLineChars="0"/>
              <w:rPr>
                <w:rFonts w:ascii="Times New Roman" w:hAnsi="Times New Roman"/>
                <w:b w:val="0"/>
                <w:bCs/>
                <w:szCs w:val="21"/>
              </w:rPr>
            </w:pPr>
            <w:r>
              <w:rPr>
                <w:rFonts w:ascii="Times New Roman" w:hAnsi="Times New Roman"/>
                <w:b w:val="0"/>
                <w:bCs/>
                <w:szCs w:val="21"/>
              </w:rPr>
              <w:t>热导率：≥1780 W/m·K@25°；</w:t>
            </w:r>
          </w:p>
          <w:p w14:paraId="283DB4CF">
            <w:pPr>
              <w:pStyle w:val="11"/>
              <w:widowControl/>
              <w:numPr>
                <w:ilvl w:val="0"/>
                <w:numId w:val="1"/>
              </w:numPr>
              <w:ind w:firstLineChars="0"/>
              <w:rPr>
                <w:rFonts w:ascii="Times New Roman" w:hAnsi="Times New Roman"/>
                <w:b w:val="0"/>
                <w:bCs/>
                <w:szCs w:val="21"/>
              </w:rPr>
            </w:pPr>
            <w:r>
              <w:rPr>
                <w:rFonts w:ascii="Times New Roman" w:hAnsi="Times New Roman"/>
                <w:b w:val="0"/>
                <w:bCs/>
                <w:szCs w:val="21"/>
              </w:rPr>
              <w:t>表面粗糙度Ra：≤30nm（RMS)；</w:t>
            </w:r>
          </w:p>
          <w:p w14:paraId="0B85CB71">
            <w:pPr>
              <w:pStyle w:val="11"/>
              <w:widowControl/>
              <w:numPr>
                <w:ilvl w:val="0"/>
                <w:numId w:val="1"/>
              </w:numPr>
              <w:ind w:firstLineChars="0"/>
              <w:rPr>
                <w:b w:val="0"/>
                <w:bCs/>
                <w:szCs w:val="21"/>
              </w:rPr>
            </w:pPr>
            <w:r>
              <w:rPr>
                <w:rFonts w:ascii="Times New Roman" w:hAnsi="Times New Roman"/>
                <w:b w:val="0"/>
                <w:bCs/>
                <w:szCs w:val="21"/>
              </w:rPr>
              <w:t>翘曲度：≤ 100μm；</w:t>
            </w:r>
          </w:p>
          <w:p w14:paraId="6ED36F49">
            <w:pPr>
              <w:widowControl/>
              <w:rPr>
                <w:b w:val="0"/>
                <w:bCs/>
                <w:szCs w:val="21"/>
              </w:rPr>
            </w:pPr>
            <w:r>
              <w:rPr>
                <w:b w:val="0"/>
                <w:bCs/>
                <w:szCs w:val="21"/>
              </w:rPr>
              <w:t>二、膜层的技术要求</w:t>
            </w:r>
          </w:p>
          <w:p w14:paraId="40613BA1">
            <w:pPr>
              <w:pStyle w:val="11"/>
              <w:widowControl/>
              <w:numPr>
                <w:ilvl w:val="0"/>
                <w:numId w:val="2"/>
              </w:numPr>
              <w:ind w:firstLineChars="0"/>
              <w:rPr>
                <w:rFonts w:ascii="Times New Roman" w:hAnsi="Times New Roman"/>
                <w:b w:val="0"/>
                <w:bCs/>
                <w:szCs w:val="21"/>
              </w:rPr>
            </w:pPr>
            <w:r>
              <w:rPr>
                <w:rFonts w:ascii="Times New Roman" w:hAnsi="Times New Roman"/>
                <w:b w:val="0"/>
                <w:bCs/>
                <w:szCs w:val="21"/>
              </w:rPr>
              <w:t>膜层材料及含量：Au，≥99%；</w:t>
            </w:r>
          </w:p>
          <w:p w14:paraId="6D396FEB">
            <w:pPr>
              <w:pStyle w:val="11"/>
              <w:widowControl/>
              <w:numPr>
                <w:ilvl w:val="0"/>
                <w:numId w:val="2"/>
              </w:numPr>
              <w:ind w:firstLineChars="0"/>
              <w:rPr>
                <w:rFonts w:ascii="Times New Roman" w:hAnsi="Times New Roman"/>
                <w:b w:val="0"/>
                <w:bCs/>
                <w:szCs w:val="21"/>
              </w:rPr>
            </w:pPr>
            <w:r>
              <w:rPr>
                <w:rFonts w:ascii="Times New Roman" w:hAnsi="Times New Roman"/>
                <w:b w:val="0"/>
                <w:bCs/>
                <w:szCs w:val="21"/>
              </w:rPr>
              <w:t>镀膜区域：正反两面，及端面；</w:t>
            </w:r>
          </w:p>
          <w:p w14:paraId="4F8781CE">
            <w:pPr>
              <w:pStyle w:val="11"/>
              <w:widowControl/>
              <w:numPr>
                <w:ilvl w:val="0"/>
                <w:numId w:val="2"/>
              </w:numPr>
              <w:ind w:firstLineChars="0"/>
              <w:rPr>
                <w:rFonts w:ascii="Times New Roman" w:hAnsi="Times New Roman"/>
                <w:b w:val="0"/>
                <w:bCs/>
                <w:szCs w:val="21"/>
              </w:rPr>
            </w:pPr>
            <w:r>
              <w:rPr>
                <w:rFonts w:ascii="Times New Roman" w:hAnsi="Times New Roman"/>
                <w:b w:val="0"/>
                <w:bCs/>
                <w:szCs w:val="21"/>
              </w:rPr>
              <w:t>膜层厚度均匀性：好于±10%；</w:t>
            </w:r>
          </w:p>
          <w:p w14:paraId="1C8BAA5C">
            <w:pPr>
              <w:pStyle w:val="11"/>
              <w:widowControl/>
              <w:numPr>
                <w:ilvl w:val="0"/>
                <w:numId w:val="2"/>
              </w:numPr>
              <w:ind w:firstLineChars="0"/>
              <w:rPr>
                <w:rFonts w:ascii="Times New Roman" w:hAnsi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/>
                <w:b w:val="0"/>
                <w:bCs w:val="0"/>
                <w:szCs w:val="21"/>
              </w:rPr>
              <w:t>膜层结合力：≥50MPa（500kg/cm2）；</w:t>
            </w:r>
          </w:p>
          <w:p w14:paraId="38D77E7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 distT="0" distB="0" distL="0" distR="0">
                  <wp:extent cx="1859915" cy="1574800"/>
                  <wp:effectExtent l="0" t="0" r="6985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802" b="148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712" cy="1583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8F0234">
            <w:pPr>
              <w:widowControl/>
              <w:jc w:val="center"/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</w:pPr>
            <w:r>
              <w:rPr>
                <w:rFonts w:hint="eastAsia"/>
                <w:szCs w:val="21"/>
              </w:rPr>
              <w:t>图1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szCs w:val="21"/>
              </w:rPr>
              <w:t>合同签订后</w:t>
            </w:r>
            <w:r>
              <w:rPr>
                <w:rFonts w:hint="eastAsia"/>
                <w:szCs w:val="21"/>
              </w:rPr>
              <w:t>3</w:t>
            </w:r>
            <w:r>
              <w:rPr>
                <w:szCs w:val="21"/>
              </w:rPr>
              <w:t>个月内交货</w:t>
            </w:r>
            <w:r>
              <w:rPr>
                <w:rFonts w:hint="eastAsia"/>
                <w:szCs w:val="21"/>
              </w:rPr>
              <w:t>；</w:t>
            </w:r>
          </w:p>
          <w:p w14:paraId="379C6791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szCs w:val="21"/>
              </w:rPr>
              <w:t>合同签订后</w:t>
            </w:r>
            <w:r>
              <w:rPr>
                <w:rFonts w:hint="eastAsia"/>
                <w:szCs w:val="21"/>
              </w:rPr>
              <w:t>3</w:t>
            </w:r>
            <w:r>
              <w:rPr>
                <w:szCs w:val="21"/>
              </w:rPr>
              <w:t>个月内</w:t>
            </w:r>
            <w:r>
              <w:rPr>
                <w:rFonts w:hint="eastAsia"/>
                <w:szCs w:val="21"/>
              </w:rPr>
              <w:t>一次性</w:t>
            </w:r>
            <w:r>
              <w:rPr>
                <w:szCs w:val="21"/>
              </w:rPr>
              <w:t>交</w:t>
            </w:r>
            <w:r>
              <w:rPr>
                <w:rFonts w:hint="eastAsia"/>
                <w:szCs w:val="21"/>
              </w:rPr>
              <w:t>付</w:t>
            </w:r>
            <w:r>
              <w:rPr>
                <w:rFonts w:hint="eastAsia"/>
                <w:szCs w:val="21"/>
                <w:lang w:eastAsia="zh-CN"/>
              </w:rPr>
              <w:t>。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szCs w:val="21"/>
              </w:rPr>
              <w:t>（1）合同签订后，支付合同总价的40%；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szCs w:val="21"/>
              </w:rPr>
              <w:t>2）货物到达采购方指定地点并经采购方验收合格后，支付合同总价的60%；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厂家提供出厂检测报告。</w:t>
            </w:r>
          </w:p>
          <w:p w14:paraId="1D800D0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szCs w:val="21"/>
              </w:rPr>
              <w:t>提供至少一年免费保修服务，并提供相应技术支持。</w:t>
            </w:r>
          </w:p>
          <w:p w14:paraId="63C950A3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其它：</w:t>
            </w:r>
          </w:p>
          <w:p w14:paraId="19D21DC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供应商必须在所在国家或地区合法注册，并持有有效的营业执照。</w:t>
            </w:r>
          </w:p>
          <w:p w14:paraId="51721626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/>
                <w:szCs w:val="21"/>
              </w:rPr>
              <w:t>供应商提供3份20</w:t>
            </w:r>
            <w:r>
              <w:rPr>
                <w:szCs w:val="21"/>
              </w:rPr>
              <w:t>20</w:t>
            </w:r>
            <w:r>
              <w:rPr>
                <w:rFonts w:hint="eastAsia"/>
                <w:szCs w:val="21"/>
              </w:rPr>
              <w:t>年1月1日以来（以合同签订日期为准）在金刚石基材上进行金属化镀膜的供货业绩。注：提供上述业绩合同关键页（至少应包括合同首页，项目范围，双方签字页）复印件或影印件。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4F71C5"/>
    <w:multiLevelType w:val="multilevel"/>
    <w:tmpl w:val="014F71C5"/>
    <w:lvl w:ilvl="0" w:tentative="0">
      <w:start w:val="1"/>
      <w:numFmt w:val="decimal"/>
      <w:lvlText w:val="%1)"/>
      <w:lvlJc w:val="left"/>
      <w:pPr>
        <w:ind w:left="420" w:hanging="420"/>
      </w:pPr>
      <w:rPr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8E2C77"/>
    <w:multiLevelType w:val="multilevel"/>
    <w:tmpl w:val="7C8E2C77"/>
    <w:lvl w:ilvl="0" w:tentative="0">
      <w:start w:val="1"/>
      <w:numFmt w:val="decimal"/>
      <w:lvlText w:val="%1)"/>
      <w:lvlJc w:val="left"/>
      <w:pPr>
        <w:ind w:left="420" w:hanging="420"/>
      </w:pPr>
      <w:rPr>
        <w:b/>
        <w:bCs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3AE6"/>
    <w:rsid w:val="00015CB8"/>
    <w:rsid w:val="00020783"/>
    <w:rsid w:val="00050922"/>
    <w:rsid w:val="00086882"/>
    <w:rsid w:val="00090223"/>
    <w:rsid w:val="00091C8D"/>
    <w:rsid w:val="000D2FA7"/>
    <w:rsid w:val="00102673"/>
    <w:rsid w:val="00102C13"/>
    <w:rsid w:val="001501D1"/>
    <w:rsid w:val="001548E0"/>
    <w:rsid w:val="001549C7"/>
    <w:rsid w:val="001B219D"/>
    <w:rsid w:val="001D3367"/>
    <w:rsid w:val="002026B2"/>
    <w:rsid w:val="002212AC"/>
    <w:rsid w:val="00261EE1"/>
    <w:rsid w:val="00267E42"/>
    <w:rsid w:val="0028549E"/>
    <w:rsid w:val="002D1729"/>
    <w:rsid w:val="002E518A"/>
    <w:rsid w:val="003009AA"/>
    <w:rsid w:val="00363C73"/>
    <w:rsid w:val="003923FC"/>
    <w:rsid w:val="003976B2"/>
    <w:rsid w:val="003C2330"/>
    <w:rsid w:val="003C7C5A"/>
    <w:rsid w:val="003D2DED"/>
    <w:rsid w:val="00424FFB"/>
    <w:rsid w:val="004251B4"/>
    <w:rsid w:val="004626C3"/>
    <w:rsid w:val="004973C3"/>
    <w:rsid w:val="004B0D2F"/>
    <w:rsid w:val="004D779C"/>
    <w:rsid w:val="00510C74"/>
    <w:rsid w:val="00516BC9"/>
    <w:rsid w:val="00516FB3"/>
    <w:rsid w:val="00547A75"/>
    <w:rsid w:val="005C1E4F"/>
    <w:rsid w:val="005C4758"/>
    <w:rsid w:val="005E2C0C"/>
    <w:rsid w:val="005F19E0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76A81"/>
    <w:rsid w:val="007A7733"/>
    <w:rsid w:val="007B2AE3"/>
    <w:rsid w:val="007C3E57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03BE2"/>
    <w:rsid w:val="00903C2B"/>
    <w:rsid w:val="009149BA"/>
    <w:rsid w:val="00961437"/>
    <w:rsid w:val="009662CD"/>
    <w:rsid w:val="009742F1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71DE"/>
    <w:rsid w:val="00BA1B3F"/>
    <w:rsid w:val="00BB7649"/>
    <w:rsid w:val="00BC2767"/>
    <w:rsid w:val="00C102A3"/>
    <w:rsid w:val="00C1298E"/>
    <w:rsid w:val="00C26D9F"/>
    <w:rsid w:val="00C442AD"/>
    <w:rsid w:val="00C85C92"/>
    <w:rsid w:val="00C9392D"/>
    <w:rsid w:val="00CA3288"/>
    <w:rsid w:val="00CA3E3B"/>
    <w:rsid w:val="00D011DC"/>
    <w:rsid w:val="00D04097"/>
    <w:rsid w:val="00D24D09"/>
    <w:rsid w:val="00D6466A"/>
    <w:rsid w:val="00D72E1E"/>
    <w:rsid w:val="00D81354"/>
    <w:rsid w:val="00DA631E"/>
    <w:rsid w:val="00E00131"/>
    <w:rsid w:val="00E147A9"/>
    <w:rsid w:val="00E465E2"/>
    <w:rsid w:val="00E5012E"/>
    <w:rsid w:val="00E625CB"/>
    <w:rsid w:val="00E762FD"/>
    <w:rsid w:val="00E930C8"/>
    <w:rsid w:val="00EA6BA9"/>
    <w:rsid w:val="00F278CD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11E104A9"/>
    <w:rsid w:val="1E732D18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449</Words>
  <Characters>497</Characters>
  <Lines>3</Lines>
  <Paragraphs>1</Paragraphs>
  <TotalTime>0</TotalTime>
  <ScaleCrop>false</ScaleCrop>
  <LinksUpToDate>false</LinksUpToDate>
  <CharactersWithSpaces>554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2025-12-23T08:53:44Z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