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C9955E">
      <w:pPr>
        <w:jc w:val="center"/>
        <w:rPr>
          <w:sz w:val="36"/>
        </w:rPr>
      </w:pPr>
      <w:r>
        <w:rPr>
          <w:sz w:val="36"/>
        </w:rPr>
        <w:t>中国科学技术大学国家同步辐射实验室</w:t>
      </w:r>
    </w:p>
    <w:p w14:paraId="3E58F52B">
      <w:pPr>
        <w:jc w:val="center"/>
      </w:pPr>
      <w:r>
        <w:rPr>
          <w:rFonts w:hint="eastAsia"/>
          <w:sz w:val="36"/>
        </w:rPr>
        <w:t>技术指标供应商确认表</w:t>
      </w:r>
    </w:p>
    <w:tbl>
      <w:tblPr>
        <w:tblStyle w:val="3"/>
        <w:tblW w:w="9781" w:type="dxa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5"/>
        <w:gridCol w:w="1561"/>
        <w:gridCol w:w="5105"/>
        <w:gridCol w:w="1418"/>
        <w:gridCol w:w="992"/>
      </w:tblGrid>
      <w:tr w14:paraId="3979FF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6" w:hRule="atLeast"/>
        </w:trPr>
        <w:tc>
          <w:tcPr>
            <w:tcW w:w="705" w:type="dxa"/>
            <w:vAlign w:val="center"/>
          </w:tcPr>
          <w:p w14:paraId="75C250BA">
            <w:pPr>
              <w:spacing w:line="240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序号</w:t>
            </w:r>
          </w:p>
        </w:tc>
        <w:tc>
          <w:tcPr>
            <w:tcW w:w="1561" w:type="dxa"/>
            <w:vAlign w:val="center"/>
          </w:tcPr>
          <w:p w14:paraId="3A9FF52B">
            <w:pPr>
              <w:spacing w:line="240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名称</w:t>
            </w:r>
          </w:p>
        </w:tc>
        <w:tc>
          <w:tcPr>
            <w:tcW w:w="5105" w:type="dxa"/>
            <w:vAlign w:val="center"/>
          </w:tcPr>
          <w:p w14:paraId="258D475E">
            <w:pPr>
              <w:spacing w:line="240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技术指标</w:t>
            </w:r>
          </w:p>
        </w:tc>
        <w:tc>
          <w:tcPr>
            <w:tcW w:w="1418" w:type="dxa"/>
            <w:vAlign w:val="center"/>
          </w:tcPr>
          <w:p w14:paraId="37F7A556">
            <w:pPr>
              <w:spacing w:line="240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偏离说明</w:t>
            </w:r>
          </w:p>
          <w:p w14:paraId="328E92F5">
            <w:pPr>
              <w:spacing w:line="240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(无偏离/正偏离/负偏离)</w:t>
            </w:r>
          </w:p>
        </w:tc>
        <w:tc>
          <w:tcPr>
            <w:tcW w:w="992" w:type="dxa"/>
            <w:vAlign w:val="center"/>
          </w:tcPr>
          <w:p w14:paraId="22A89C1E">
            <w:pPr>
              <w:spacing w:line="240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偏离值</w:t>
            </w:r>
          </w:p>
        </w:tc>
      </w:tr>
      <w:tr w14:paraId="394384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0" w:hRule="atLeast"/>
        </w:trPr>
        <w:tc>
          <w:tcPr>
            <w:tcW w:w="705" w:type="dxa"/>
            <w:vAlign w:val="center"/>
          </w:tcPr>
          <w:p w14:paraId="185CA09D">
            <w:pPr>
              <w:spacing w:line="240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43B511">
            <w:pPr>
              <w:widowControl/>
              <w:spacing w:line="240" w:lineRule="atLeast"/>
              <w:jc w:val="both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高真空电控平移台及控制器（重载）</w:t>
            </w:r>
          </w:p>
        </w:tc>
        <w:tc>
          <w:tcPr>
            <w:tcW w:w="5105" w:type="dxa"/>
            <w:vAlign w:val="center"/>
          </w:tcPr>
          <w:p w14:paraId="6DE587D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300" w:lineRule="auto"/>
              <w:jc w:val="left"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行程：≥85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eastAsia"/>
                <w:color w:val="000000"/>
                <w:sz w:val="24"/>
                <w:szCs w:val="24"/>
              </w:rPr>
              <w:t>mm和≥3</w:t>
            </w:r>
            <w:r>
              <w:rPr>
                <w:color w:val="000000"/>
                <w:sz w:val="24"/>
                <w:szCs w:val="24"/>
              </w:rPr>
              <w:t xml:space="preserve">0 </w:t>
            </w:r>
            <w:r>
              <w:rPr>
                <w:rFonts w:hint="eastAsia"/>
                <w:color w:val="000000"/>
                <w:sz w:val="24"/>
                <w:szCs w:val="24"/>
              </w:rPr>
              <w:t>mm</w:t>
            </w:r>
          </w:p>
          <w:p w14:paraId="1998D86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300" w:lineRule="auto"/>
              <w:jc w:val="left"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闭环分辨率：＜0.5</w:t>
            </w:r>
            <w:r>
              <w:rPr>
                <w:color w:val="000000"/>
                <w:sz w:val="24"/>
                <w:szCs w:val="24"/>
              </w:rPr>
              <w:t xml:space="preserve"> μm</w:t>
            </w:r>
          </w:p>
          <w:p w14:paraId="17B217E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300" w:lineRule="auto"/>
              <w:jc w:val="left"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重复定位精度：≤0.</w:t>
            </w:r>
            <w:r>
              <w:rPr>
                <w:color w:val="000000"/>
                <w:sz w:val="24"/>
                <w:szCs w:val="24"/>
              </w:rPr>
              <w:t>5 μm</w:t>
            </w:r>
          </w:p>
          <w:p w14:paraId="264C76E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300" w:lineRule="auto"/>
              <w:jc w:val="left"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真空兼容，达到</w:t>
            </w:r>
            <w:r>
              <w:rPr>
                <w:color w:val="000000"/>
                <w:sz w:val="24"/>
                <w:szCs w:val="24"/>
              </w:rPr>
              <w:t>5</w:t>
            </w:r>
            <w:r>
              <w:rPr>
                <w:rFonts w:hint="eastAsia"/>
                <w:color w:val="000000"/>
                <w:sz w:val="24"/>
                <w:szCs w:val="24"/>
              </w:rPr>
              <w:t>e-</w:t>
            </w:r>
            <w:r>
              <w:rPr>
                <w:color w:val="000000"/>
                <w:sz w:val="24"/>
                <w:szCs w:val="24"/>
              </w:rPr>
              <w:t xml:space="preserve">7 </w:t>
            </w:r>
            <w:r>
              <w:rPr>
                <w:rFonts w:hint="eastAsia"/>
                <w:color w:val="000000"/>
                <w:sz w:val="24"/>
                <w:szCs w:val="24"/>
              </w:rPr>
              <w:t>mbar</w:t>
            </w:r>
          </w:p>
          <w:p w14:paraId="5E7B32C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300" w:lineRule="auto"/>
              <w:jc w:val="left"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整体尺寸：宽度≤</w:t>
            </w:r>
            <w:r>
              <w:rPr>
                <w:color w:val="000000"/>
                <w:sz w:val="24"/>
                <w:szCs w:val="24"/>
              </w:rPr>
              <w:t>7</w:t>
            </w:r>
            <w:r>
              <w:rPr>
                <w:rFonts w:hint="eastAsia"/>
                <w:color w:val="000000"/>
                <w:sz w:val="24"/>
                <w:szCs w:val="24"/>
              </w:rPr>
              <w:t>0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eastAsia"/>
                <w:color w:val="000000"/>
                <w:sz w:val="24"/>
                <w:szCs w:val="24"/>
              </w:rPr>
              <w:t>mm，移动方向全行程尺寸≤2</w:t>
            </w:r>
            <w:r>
              <w:rPr>
                <w:color w:val="000000"/>
                <w:sz w:val="24"/>
                <w:szCs w:val="24"/>
              </w:rPr>
              <w:t xml:space="preserve">50 </w:t>
            </w:r>
            <w:r>
              <w:rPr>
                <w:rFonts w:hint="eastAsia"/>
                <w:color w:val="000000"/>
                <w:sz w:val="24"/>
                <w:szCs w:val="24"/>
              </w:rPr>
              <w:t>mm（行程≥8</w:t>
            </w:r>
            <w:r>
              <w:rPr>
                <w:color w:val="000000"/>
                <w:sz w:val="24"/>
                <w:szCs w:val="24"/>
              </w:rPr>
              <w:t>5</w:t>
            </w:r>
            <w:r>
              <w:rPr>
                <w:rFonts w:hint="eastAsia"/>
                <w:color w:val="000000"/>
                <w:sz w:val="24"/>
                <w:szCs w:val="24"/>
              </w:rPr>
              <w:t>mm）</w:t>
            </w:r>
          </w:p>
          <w:p w14:paraId="375887A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300" w:lineRule="auto"/>
              <w:jc w:val="left"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控制：兼容epics，提供epics控制教程及技术支持，网口通讯</w:t>
            </w:r>
          </w:p>
          <w:p w14:paraId="49B6AAC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300" w:lineRule="auto"/>
              <w:jc w:val="left"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水平负载：≥</w:t>
            </w:r>
            <w:r>
              <w:rPr>
                <w:color w:val="000000"/>
                <w:sz w:val="24"/>
                <w:szCs w:val="24"/>
              </w:rPr>
              <w:t>2</w:t>
            </w:r>
            <w:r>
              <w:rPr>
                <w:rFonts w:hint="eastAsia"/>
                <w:color w:val="000000"/>
                <w:sz w:val="24"/>
                <w:szCs w:val="24"/>
              </w:rPr>
              <w:t>kg</w:t>
            </w:r>
          </w:p>
          <w:p w14:paraId="53F64D4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300" w:lineRule="auto"/>
              <w:jc w:val="left"/>
              <w:textAlignment w:val="auto"/>
              <w:rPr>
                <w:rFonts w:ascii="宋体" w:hAnsi="宋体" w:cs="宋体"/>
                <w:bCs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控制器：自带控制软件，兼容epcis通讯，支持二次开发，提供epics控制教程及技术支持，网口通讯</w:t>
            </w:r>
          </w:p>
          <w:p w14:paraId="36EEB75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300" w:lineRule="auto"/>
              <w:jc w:val="left"/>
              <w:textAlignment w:val="auto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数量：共4个，三个行程</w:t>
            </w:r>
            <w:r>
              <w:rPr>
                <w:rFonts w:hint="eastAsia"/>
                <w:color w:val="000000"/>
                <w:sz w:val="24"/>
                <w:szCs w:val="24"/>
              </w:rPr>
              <w:t>≥85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eastAsia"/>
                <w:color w:val="000000"/>
                <w:sz w:val="24"/>
                <w:szCs w:val="24"/>
              </w:rPr>
              <w:t>mm，一个行程≥3</w:t>
            </w:r>
            <w:r>
              <w:rPr>
                <w:color w:val="000000"/>
                <w:sz w:val="24"/>
                <w:szCs w:val="24"/>
              </w:rPr>
              <w:t xml:space="preserve">0 </w:t>
            </w:r>
            <w:r>
              <w:rPr>
                <w:rFonts w:hint="eastAsia"/>
                <w:color w:val="000000"/>
                <w:sz w:val="24"/>
                <w:szCs w:val="24"/>
              </w:rPr>
              <w:t>mm</w:t>
            </w:r>
          </w:p>
        </w:tc>
        <w:tc>
          <w:tcPr>
            <w:tcW w:w="1418" w:type="dxa"/>
            <w:vAlign w:val="center"/>
          </w:tcPr>
          <w:p w14:paraId="205FF5AB">
            <w:pPr>
              <w:spacing w:line="240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1C60665B">
            <w:pPr>
              <w:spacing w:line="240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497EA6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705" w:type="dxa"/>
            <w:vAlign w:val="center"/>
          </w:tcPr>
          <w:p w14:paraId="21D5CC9B">
            <w:pPr>
              <w:spacing w:line="240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17188C">
            <w:pPr>
              <w:widowControl/>
              <w:spacing w:line="240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商务条款</w:t>
            </w:r>
          </w:p>
        </w:tc>
        <w:tc>
          <w:tcPr>
            <w:tcW w:w="51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A1FD61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00" w:lineRule="auto"/>
              <w:jc w:val="left"/>
              <w:textAlignment w:val="auto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交货期：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  <w:t>合同签订后3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个月内</w:t>
            </w:r>
          </w:p>
          <w:p w14:paraId="00D99E59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00" w:lineRule="auto"/>
              <w:jc w:val="left"/>
              <w:textAlignment w:val="auto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交付进度：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一次性交付</w:t>
            </w:r>
          </w:p>
          <w:p w14:paraId="51F23489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00" w:lineRule="auto"/>
              <w:jc w:val="left"/>
              <w:textAlignment w:val="auto"/>
              <w:rPr>
                <w:rFonts w:hint="eastAsia" w:ascii="宋体" w:hAnsi="宋体" w:eastAsia="宋体" w:cs="宋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付款方式：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  <w:t>甲方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预付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  <w:lang w:val="en-US" w:eastAsia="zh-CN"/>
              </w:rPr>
              <w:t>合同总金额的5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0%，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  <w:lang w:val="en-US" w:eastAsia="zh-CN"/>
              </w:rPr>
              <w:t>货到甲方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验收合格后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  <w:lang w:val="en-US" w:eastAsia="zh-CN"/>
              </w:rPr>
              <w:t>支付尾款</w:t>
            </w:r>
          </w:p>
          <w:p w14:paraId="6F8E8644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00" w:lineRule="auto"/>
              <w:jc w:val="left"/>
              <w:textAlignment w:val="auto"/>
              <w:rPr>
                <w:rFonts w:hint="eastAsia" w:ascii="宋体" w:hAnsi="宋体" w:eastAsia="宋体" w:cs="宋体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验收指标及验收要求：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提供出厂检测报告，需要包含行程：≥85 mm和≥30 mm；分辨率：＜0.5 μm；重复定位精度：≤0.5 μm；真空兼容，达到5e-7 mbar；兼容epics，提供epics控制教程及技术支持，网口通讯；水平负载：≥2kg。控制器：兼容epcis通讯，支持二次开发，提供epics控制教程及技术支持，网口通讯。</w:t>
            </w:r>
          </w:p>
          <w:p w14:paraId="35F21E9F">
            <w:pPr>
              <w:tabs>
                <w:tab w:val="left" w:pos="6915"/>
              </w:tabs>
              <w:spacing w:line="360" w:lineRule="auto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保修及售后服务：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质保期一年</w:t>
            </w:r>
          </w:p>
        </w:tc>
        <w:tc>
          <w:tcPr>
            <w:tcW w:w="1418" w:type="dxa"/>
            <w:vAlign w:val="center"/>
          </w:tcPr>
          <w:p w14:paraId="324B1D27">
            <w:pPr>
              <w:spacing w:line="240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06AA2CA0">
            <w:pPr>
              <w:spacing w:line="240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</w:tbl>
    <w:p w14:paraId="6B36AD4F">
      <w:pPr>
        <w:ind w:right="840"/>
        <w:jc w:val="righ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公司名称（盖章）：</w:t>
      </w:r>
    </w:p>
    <w:p w14:paraId="2640FED2">
      <w:pPr>
        <w:ind w:right="840"/>
        <w:jc w:val="right"/>
      </w:pPr>
      <w:r>
        <w:rPr>
          <w:rFonts w:hint="eastAsia" w:ascii="宋体" w:hAnsi="宋体" w:eastAsia="宋体" w:cs="宋体"/>
          <w:sz w:val="24"/>
          <w:szCs w:val="24"/>
        </w:rPr>
        <w:t xml:space="preserve">                        日期：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A723639"/>
    <w:multiLevelType w:val="multilevel"/>
    <w:tmpl w:val="4A723639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F61430E"/>
    <w:rsid w:val="1F61430E"/>
    <w:rsid w:val="3DB11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List Paragraph"/>
    <w:basedOn w:val="1"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11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2026-01-15T08:31:00Z</dcterms:created>
  <dc:creator>王小宇</dc:creator>
  <cp:lastModifiedBy>王小宇</cp:lastModifiedBy>
  <dcterms:modified xsi:type="dcterms:W3CDTF">2026-01-15T08:44:38Z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4A48AF5F1B7D41108D80BC7546DDDC1D_11</vt:lpwstr>
  </property>
  <property fmtid="{D5CDD505-2E9C-101B-9397-08002B2CF9AE}" pid="4" name="KSOTemplateDocerSaveRecord">
    <vt:lpwstr>eyJoZGlkIjoiN2RmNGQ2MDc0ZGFiNmIyNjNmMmJiNzcxMzg1OWQzY2YiLCJ1c2VySWQiOiIxNzkyMjQ5NTEzIn0=</vt:lpwstr>
  </property>
</Properties>
</file>