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9AC448">
      <w:pPr>
        <w:jc w:val="center"/>
        <w:rPr>
          <w:sz w:val="36"/>
        </w:rPr>
      </w:pPr>
      <w:r>
        <w:rPr>
          <w:sz w:val="36"/>
        </w:rPr>
        <w:t>中国科学技术大学国家同步辐射实验室</w:t>
      </w:r>
    </w:p>
    <w:p w14:paraId="4BED1386">
      <w:pPr>
        <w:jc w:val="center"/>
      </w:pPr>
      <w:bookmarkStart w:id="1" w:name="_GoBack"/>
      <w:r>
        <w:rPr>
          <w:rFonts w:hint="eastAsia"/>
          <w:sz w:val="36"/>
        </w:rPr>
        <w:t>技术指标供应商确认表</w:t>
      </w:r>
    </w:p>
    <w:bookmarkEnd w:id="1"/>
    <w:tbl>
      <w:tblPr>
        <w:tblStyle w:val="3"/>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245"/>
        <w:gridCol w:w="5604"/>
        <w:gridCol w:w="1227"/>
        <w:gridCol w:w="1000"/>
      </w:tblGrid>
      <w:tr w14:paraId="0B802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705" w:type="dxa"/>
            <w:vAlign w:val="center"/>
          </w:tcPr>
          <w:p w14:paraId="08595080">
            <w:pPr>
              <w:spacing w:line="240" w:lineRule="atLeast"/>
              <w:jc w:val="center"/>
              <w:rPr>
                <w:sz w:val="24"/>
                <w:szCs w:val="24"/>
              </w:rPr>
            </w:pPr>
            <w:r>
              <w:rPr>
                <w:rFonts w:hint="eastAsia"/>
                <w:sz w:val="24"/>
                <w:szCs w:val="24"/>
              </w:rPr>
              <w:t>序号</w:t>
            </w:r>
          </w:p>
        </w:tc>
        <w:tc>
          <w:tcPr>
            <w:tcW w:w="1245" w:type="dxa"/>
            <w:vAlign w:val="center"/>
          </w:tcPr>
          <w:p w14:paraId="5D2BE5C9">
            <w:pPr>
              <w:spacing w:line="240" w:lineRule="atLeast"/>
              <w:jc w:val="center"/>
              <w:rPr>
                <w:sz w:val="24"/>
                <w:szCs w:val="24"/>
              </w:rPr>
            </w:pPr>
            <w:r>
              <w:rPr>
                <w:rFonts w:hint="eastAsia"/>
                <w:sz w:val="24"/>
                <w:szCs w:val="24"/>
              </w:rPr>
              <w:t>名称</w:t>
            </w:r>
          </w:p>
        </w:tc>
        <w:tc>
          <w:tcPr>
            <w:tcW w:w="5604" w:type="dxa"/>
            <w:vAlign w:val="center"/>
          </w:tcPr>
          <w:p w14:paraId="2D8488EE">
            <w:pPr>
              <w:spacing w:line="240" w:lineRule="atLeast"/>
              <w:jc w:val="center"/>
              <w:rPr>
                <w:sz w:val="24"/>
                <w:szCs w:val="24"/>
              </w:rPr>
            </w:pPr>
            <w:r>
              <w:rPr>
                <w:rFonts w:hint="eastAsia"/>
                <w:sz w:val="24"/>
                <w:szCs w:val="24"/>
              </w:rPr>
              <w:t>技术指标</w:t>
            </w:r>
          </w:p>
        </w:tc>
        <w:tc>
          <w:tcPr>
            <w:tcW w:w="1227" w:type="dxa"/>
            <w:vAlign w:val="center"/>
          </w:tcPr>
          <w:p w14:paraId="5FE1DE87">
            <w:pPr>
              <w:spacing w:line="240" w:lineRule="atLeast"/>
              <w:jc w:val="center"/>
              <w:rPr>
                <w:sz w:val="24"/>
                <w:szCs w:val="24"/>
              </w:rPr>
            </w:pPr>
            <w:r>
              <w:rPr>
                <w:rFonts w:hint="eastAsia"/>
                <w:sz w:val="24"/>
                <w:szCs w:val="24"/>
              </w:rPr>
              <w:t>偏离说明</w:t>
            </w:r>
          </w:p>
          <w:p w14:paraId="2F0BEEB9">
            <w:pPr>
              <w:spacing w:line="240" w:lineRule="atLeast"/>
              <w:jc w:val="center"/>
              <w:rPr>
                <w:sz w:val="24"/>
                <w:szCs w:val="24"/>
              </w:rPr>
            </w:pPr>
            <w:r>
              <w:rPr>
                <w:rFonts w:hint="eastAsia"/>
                <w:sz w:val="24"/>
                <w:szCs w:val="24"/>
              </w:rPr>
              <w:t>(</w:t>
            </w:r>
            <w:r>
              <w:rPr>
                <w:sz w:val="24"/>
                <w:szCs w:val="24"/>
              </w:rPr>
              <w:t>无偏离</w:t>
            </w:r>
            <w:r>
              <w:rPr>
                <w:rFonts w:hint="eastAsia"/>
                <w:sz w:val="24"/>
                <w:szCs w:val="24"/>
              </w:rPr>
              <w:t>/</w:t>
            </w:r>
            <w:r>
              <w:rPr>
                <w:sz w:val="24"/>
                <w:szCs w:val="24"/>
              </w:rPr>
              <w:t>正偏离</w:t>
            </w:r>
            <w:r>
              <w:rPr>
                <w:rFonts w:hint="eastAsia"/>
                <w:sz w:val="24"/>
                <w:szCs w:val="24"/>
              </w:rPr>
              <w:t>/</w:t>
            </w:r>
            <w:r>
              <w:rPr>
                <w:sz w:val="24"/>
                <w:szCs w:val="24"/>
              </w:rPr>
              <w:t>负偏离</w:t>
            </w:r>
            <w:r>
              <w:rPr>
                <w:rFonts w:hint="eastAsia"/>
                <w:sz w:val="24"/>
                <w:szCs w:val="24"/>
              </w:rPr>
              <w:t>)</w:t>
            </w:r>
          </w:p>
        </w:tc>
        <w:tc>
          <w:tcPr>
            <w:tcW w:w="1000" w:type="dxa"/>
            <w:vAlign w:val="center"/>
          </w:tcPr>
          <w:p w14:paraId="226E9AE1">
            <w:pPr>
              <w:spacing w:line="240" w:lineRule="atLeast"/>
              <w:jc w:val="center"/>
              <w:rPr>
                <w:sz w:val="24"/>
                <w:szCs w:val="24"/>
              </w:rPr>
            </w:pPr>
            <w:r>
              <w:rPr>
                <w:rFonts w:hint="eastAsia"/>
                <w:sz w:val="24"/>
                <w:szCs w:val="24"/>
              </w:rPr>
              <w:t>偏离值</w:t>
            </w:r>
          </w:p>
        </w:tc>
      </w:tr>
      <w:tr w14:paraId="146FE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05" w:type="dxa"/>
            <w:vAlign w:val="center"/>
          </w:tcPr>
          <w:p w14:paraId="4B4929B2">
            <w:pPr>
              <w:spacing w:line="240" w:lineRule="atLeast"/>
              <w:jc w:val="center"/>
              <w:rPr>
                <w:sz w:val="24"/>
                <w:szCs w:val="24"/>
              </w:rPr>
            </w:pPr>
            <w:r>
              <w:rPr>
                <w:rFonts w:hint="eastAsia"/>
                <w:sz w:val="24"/>
                <w:szCs w:val="24"/>
              </w:rPr>
              <w:t>1</w:t>
            </w:r>
          </w:p>
        </w:tc>
        <w:tc>
          <w:tcPr>
            <w:tcW w:w="1245" w:type="dxa"/>
            <w:tcBorders>
              <w:top w:val="single" w:color="auto" w:sz="4" w:space="0"/>
              <w:left w:val="single" w:color="auto" w:sz="4" w:space="0"/>
              <w:right w:val="single" w:color="auto" w:sz="4" w:space="0"/>
            </w:tcBorders>
            <w:shd w:val="clear" w:color="auto" w:fill="auto"/>
            <w:vAlign w:val="center"/>
          </w:tcPr>
          <w:p w14:paraId="1D4BF417">
            <w:pPr>
              <w:widowControl/>
              <w:spacing w:line="240" w:lineRule="atLeast"/>
              <w:jc w:val="center"/>
              <w:rPr>
                <w:rFonts w:hint="eastAsia" w:ascii="Times New Roman" w:hAnsi="Times New Roman" w:cs="Times New Roman" w:eastAsiaTheme="minorEastAsia"/>
                <w:bCs/>
                <w:sz w:val="24"/>
                <w:szCs w:val="28"/>
                <w:lang w:eastAsia="zh-CN"/>
              </w:rPr>
            </w:pPr>
            <w:r>
              <w:rPr>
                <w:rFonts w:hint="eastAsia" w:ascii="Times New Roman" w:hAnsi="Times New Roman" w:cs="Times New Roman" w:eastAsiaTheme="minorEastAsia"/>
                <w:bCs/>
                <w:sz w:val="24"/>
                <w:szCs w:val="28"/>
                <w:lang w:eastAsia="zh-CN"/>
              </w:rPr>
              <w:t>光学防震平台</w:t>
            </w:r>
          </w:p>
        </w:tc>
        <w:tc>
          <w:tcPr>
            <w:tcW w:w="5604" w:type="dxa"/>
            <w:vAlign w:val="center"/>
          </w:tcPr>
          <w:p w14:paraId="5AB94AC5">
            <w:pPr>
              <w:keepNext w:val="0"/>
              <w:keepLines w:val="0"/>
              <w:pageBreakBefore w:val="0"/>
              <w:tabs>
                <w:tab w:val="left" w:pos="6915"/>
              </w:tabs>
              <w:kinsoku/>
              <w:wordWrap/>
              <w:overflowPunct/>
              <w:topLinePunct w:val="0"/>
              <w:autoSpaceDE/>
              <w:autoSpaceDN/>
              <w:bidi w:val="0"/>
              <w:adjustRightInd w:val="0"/>
              <w:snapToGrid w:val="0"/>
              <w:spacing w:line="300" w:lineRule="auto"/>
              <w:jc w:val="left"/>
              <w:textAlignment w:val="auto"/>
              <w:rPr>
                <w:rFonts w:hint="default" w:ascii="Times New Roman" w:hAnsi="Times New Roman" w:cs="Times New Roman"/>
                <w:b/>
                <w:sz w:val="24"/>
                <w:szCs w:val="24"/>
              </w:rPr>
            </w:pPr>
            <w:r>
              <w:rPr>
                <w:rFonts w:hint="default" w:ascii="Times New Roman" w:hAnsi="Times New Roman" w:cs="Times New Roman"/>
                <w:b/>
                <w:sz w:val="24"/>
                <w:szCs w:val="24"/>
              </w:rPr>
              <w:t>规格和技术参数：</w:t>
            </w:r>
          </w:p>
          <w:p w14:paraId="4C3D397C">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 xml:space="preserve">a) 尺寸（长×宽×高）为定制尺寸2000mm*1800mm*3套（内部拼接）,1200mm*1400mm*2套，900mm*900mm*1套，600mm*600mm*2套，3000mm*1000mm*1套（尺寸可能会微调），高度1050mm（高度可能会微调）； </w:t>
            </w:r>
          </w:p>
          <w:p w14:paraId="545AE7EE">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 xml:space="preserve">b) 台面采用三层夹心式蜂窝结构，上台面不小于 6mm 高导磁 不锈钢，表面做密迪纹亚光处理（避免台面反光），下底面碳钢， 内部做防锈漆，表面黑色喷塑工艺，外层为黑色铝塑板，四周主色系防杂散光包角装饰工艺，防止反光等对光学试验影响，反射率＜50； </w:t>
            </w:r>
          </w:p>
          <w:p w14:paraId="6831BDB8">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bookmarkStart w:id="0" w:name="OLE_LINK6"/>
            <w:r>
              <w:rPr>
                <w:rFonts w:hint="default" w:ascii="Times New Roman" w:hAnsi="Times New Roman" w:cs="Times New Roman"/>
                <w:b w:val="0"/>
                <w:bCs w:val="0"/>
                <w:sz w:val="24"/>
                <w:szCs w:val="24"/>
              </w:rPr>
              <w:t>c)</w:t>
            </w:r>
            <w:bookmarkEnd w:id="0"/>
            <w:r>
              <w:rPr>
                <w:rFonts w:hint="default" w:ascii="Times New Roman" w:hAnsi="Times New Roman" w:cs="Times New Roman"/>
                <w:b w:val="0"/>
                <w:bCs w:val="0"/>
                <w:sz w:val="24"/>
                <w:szCs w:val="24"/>
              </w:rPr>
              <w:t xml:space="preserve"> 实验平台需采用垂直的超刚性蜂窝芯填充，实验平台表面带有L型激光标识定位，实验平台外部采用无甲醛污染的复合装饰板四角采用不锈钢装饰护角,导磁率≤1.1； </w:t>
            </w:r>
          </w:p>
          <w:p w14:paraId="755EDC35">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 xml:space="preserve">d) 平面粗糙度不大于 0.8um； </w:t>
            </w:r>
          </w:p>
          <w:p w14:paraId="54F339A6">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 xml:space="preserve">e) 平面度不大于 0.1 mm/600X600 mm； </w:t>
            </w:r>
          </w:p>
          <w:p w14:paraId="3085C65D">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f) 固有频率小于 x 方向：7-16Hz y 方向：7-16Hz； 实验平台垂直隔振效率：5Hz垂直：≥90%；10 Hz垂直：≥94%，</w:t>
            </w:r>
          </w:p>
          <w:p w14:paraId="50642E75">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 xml:space="preserve">g) 振幅 5 微米； </w:t>
            </w:r>
          </w:p>
          <w:p w14:paraId="49FFC6DF">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 xml:space="preserve">h) 水平精度 0.1 mm/600X600 mm； </w:t>
            </w:r>
          </w:p>
          <w:p w14:paraId="20498F07">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 xml:space="preserve">i) 固定螺孔 M6，阵距 25mm×25mm 排列，边缘距离12.7mm； </w:t>
            </w:r>
          </w:p>
          <w:p w14:paraId="65D5B7BF">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eastAsia" w:ascii="Times New Roman" w:hAnsi="Times New Roman" w:cs="Times New Roman" w:eastAsiaTheme="minorEastAsia"/>
                <w:b w:val="0"/>
                <w:bCs w:val="0"/>
                <w:sz w:val="24"/>
                <w:szCs w:val="24"/>
                <w:lang w:eastAsia="zh-CN"/>
              </w:rPr>
            </w:pPr>
            <w:r>
              <w:rPr>
                <w:rFonts w:hint="default" w:ascii="Times New Roman" w:hAnsi="Times New Roman" w:cs="Times New Roman"/>
                <w:b w:val="0"/>
                <w:bCs w:val="0"/>
                <w:sz w:val="24"/>
                <w:szCs w:val="24"/>
              </w:rPr>
              <w:t>j) 载重大于 800Kg/m 2</w:t>
            </w:r>
            <w:r>
              <w:rPr>
                <w:rFonts w:hint="eastAsia" w:ascii="Times New Roman" w:hAnsi="Times New Roman" w:cs="Times New Roman"/>
                <w:b w:val="0"/>
                <w:bCs w:val="0"/>
                <w:sz w:val="24"/>
                <w:szCs w:val="24"/>
                <w:lang w:eastAsia="zh-CN"/>
              </w:rPr>
              <w:t>；</w:t>
            </w:r>
            <w:r>
              <w:rPr>
                <w:rFonts w:hint="default" w:ascii="Times New Roman" w:hAnsi="Times New Roman" w:cs="Times New Roman"/>
                <w:b w:val="0"/>
                <w:bCs w:val="0"/>
                <w:sz w:val="24"/>
                <w:szCs w:val="24"/>
              </w:rPr>
              <w:t xml:space="preserve"> 实验平台工作气压：0.4MPa±0.1MPa</w:t>
            </w:r>
            <w:r>
              <w:rPr>
                <w:rFonts w:hint="eastAsia" w:ascii="Times New Roman" w:hAnsi="Times New Roman" w:cs="Times New Roman"/>
                <w:b w:val="0"/>
                <w:bCs w:val="0"/>
                <w:sz w:val="24"/>
                <w:szCs w:val="24"/>
                <w:lang w:eastAsia="zh-CN"/>
              </w:rPr>
              <w:t>；</w:t>
            </w:r>
          </w:p>
          <w:p w14:paraId="30E56633">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eastAsia" w:ascii="Times New Roman" w:hAnsi="Times New Roman" w:cs="Times New Roman" w:eastAsiaTheme="minorEastAsia"/>
                <w:b w:val="0"/>
                <w:bCs w:val="0"/>
                <w:sz w:val="24"/>
                <w:szCs w:val="24"/>
                <w:lang w:eastAsia="zh-CN"/>
              </w:rPr>
            </w:pPr>
            <w:r>
              <w:rPr>
                <w:rFonts w:hint="eastAsia" w:ascii="Times New Roman" w:hAnsi="Times New Roman" w:cs="Times New Roman"/>
                <w:b w:val="0"/>
                <w:bCs w:val="0"/>
                <w:sz w:val="24"/>
                <w:szCs w:val="24"/>
                <w:lang w:val="en-US" w:eastAsia="zh-CN"/>
              </w:rPr>
              <w:t>k</w:t>
            </w:r>
            <w:r>
              <w:rPr>
                <w:rFonts w:hint="default" w:ascii="Times New Roman" w:hAnsi="Times New Roman" w:cs="Times New Roman"/>
                <w:b w:val="0"/>
                <w:bCs w:val="0"/>
                <w:sz w:val="24"/>
                <w:szCs w:val="24"/>
              </w:rPr>
              <w:t>）隔振方式：阻尼隔振，阻尼材质需满足电气绝缘强度≥210volt/mil(12.5kV),电阻率8.0x107/Ω毫米,绝缘系数≥9.34,功率因子≥0.201,消耗指数为≥1.881,密度≤74lbs/ft3</w:t>
            </w:r>
            <w:r>
              <w:rPr>
                <w:rFonts w:hint="eastAsia" w:ascii="Times New Roman" w:hAnsi="Times New Roman" w:cs="Times New Roman"/>
                <w:b w:val="0"/>
                <w:bCs w:val="0"/>
                <w:sz w:val="24"/>
                <w:szCs w:val="24"/>
                <w:lang w:eastAsia="zh-CN"/>
              </w:rPr>
              <w:t>；</w:t>
            </w:r>
          </w:p>
          <w:p w14:paraId="529C3A29">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eastAsia"/>
                <w:bCs/>
                <w:sz w:val="24"/>
                <w:szCs w:val="24"/>
              </w:rPr>
            </w:pPr>
            <w:r>
              <w:rPr>
                <w:rFonts w:hint="eastAsia" w:ascii="Times New Roman" w:hAnsi="Times New Roman" w:cs="Times New Roman"/>
                <w:b w:val="0"/>
                <w:bCs w:val="0"/>
                <w:sz w:val="24"/>
                <w:szCs w:val="24"/>
                <w:lang w:val="en-US" w:eastAsia="zh-CN"/>
              </w:rPr>
              <w:t>l</w:t>
            </w:r>
            <w:r>
              <w:rPr>
                <w:rFonts w:hint="default" w:ascii="Times New Roman" w:hAnsi="Times New Roman" w:cs="Times New Roman"/>
                <w:b w:val="0"/>
                <w:bCs w:val="0"/>
                <w:sz w:val="24"/>
                <w:szCs w:val="24"/>
              </w:rPr>
              <w:t>)调节机构需做硬化和耐磨处理，处理后布氏硬度不低于500</w:t>
            </w:r>
            <w:r>
              <w:rPr>
                <w:rFonts w:hint="eastAsia" w:ascii="Times New Roman" w:hAnsi="Times New Roman" w:cs="Times New Roman"/>
                <w:b w:val="0"/>
                <w:bCs w:val="0"/>
                <w:sz w:val="24"/>
                <w:szCs w:val="24"/>
                <w:lang w:eastAsia="zh-CN"/>
              </w:rPr>
              <w:t>。</w:t>
            </w:r>
          </w:p>
        </w:tc>
        <w:tc>
          <w:tcPr>
            <w:tcW w:w="1227" w:type="dxa"/>
            <w:vAlign w:val="center"/>
          </w:tcPr>
          <w:p w14:paraId="29DFE29F">
            <w:pPr>
              <w:spacing w:line="240" w:lineRule="atLeast"/>
              <w:jc w:val="center"/>
              <w:rPr>
                <w:sz w:val="24"/>
                <w:szCs w:val="24"/>
              </w:rPr>
            </w:pPr>
          </w:p>
        </w:tc>
        <w:tc>
          <w:tcPr>
            <w:tcW w:w="1000" w:type="dxa"/>
            <w:vAlign w:val="center"/>
          </w:tcPr>
          <w:p w14:paraId="76B2839D">
            <w:pPr>
              <w:spacing w:line="240" w:lineRule="atLeast"/>
              <w:jc w:val="center"/>
              <w:rPr>
                <w:sz w:val="24"/>
                <w:szCs w:val="24"/>
              </w:rPr>
            </w:pPr>
          </w:p>
        </w:tc>
      </w:tr>
      <w:tr w14:paraId="67634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05" w:type="dxa"/>
            <w:vAlign w:val="center"/>
          </w:tcPr>
          <w:p w14:paraId="711317D4">
            <w:pPr>
              <w:spacing w:line="240" w:lineRule="atLeast"/>
              <w:jc w:val="center"/>
              <w:rPr>
                <w:sz w:val="24"/>
                <w:szCs w:val="24"/>
              </w:rPr>
            </w:pPr>
            <w:r>
              <w:rPr>
                <w:sz w:val="24"/>
                <w:szCs w:val="24"/>
              </w:rPr>
              <w:t>2</w:t>
            </w:r>
          </w:p>
        </w:tc>
        <w:tc>
          <w:tcPr>
            <w:tcW w:w="1245" w:type="dxa"/>
            <w:tcBorders>
              <w:top w:val="single" w:color="auto" w:sz="4" w:space="0"/>
              <w:left w:val="single" w:color="auto" w:sz="4" w:space="0"/>
              <w:bottom w:val="single" w:color="auto" w:sz="4" w:space="0"/>
              <w:right w:val="single" w:color="auto" w:sz="4" w:space="0"/>
            </w:tcBorders>
            <w:shd w:val="clear" w:color="auto" w:fill="auto"/>
            <w:vAlign w:val="center"/>
          </w:tcPr>
          <w:p w14:paraId="124D5A23">
            <w:pPr>
              <w:widowControl/>
              <w:spacing w:line="240" w:lineRule="atLeast"/>
              <w:jc w:val="center"/>
              <w:rPr>
                <w:sz w:val="24"/>
                <w:szCs w:val="24"/>
              </w:rPr>
            </w:pPr>
            <w:r>
              <w:rPr>
                <w:rFonts w:hint="eastAsia"/>
                <w:sz w:val="24"/>
                <w:szCs w:val="24"/>
              </w:rPr>
              <w:t>商务条款</w:t>
            </w:r>
          </w:p>
        </w:tc>
        <w:tc>
          <w:tcPr>
            <w:tcW w:w="5604" w:type="dxa"/>
            <w:tcBorders>
              <w:top w:val="single" w:color="auto" w:sz="4" w:space="0"/>
              <w:left w:val="nil"/>
              <w:bottom w:val="single" w:color="auto" w:sz="4" w:space="0"/>
              <w:right w:val="single" w:color="auto" w:sz="4" w:space="0"/>
            </w:tcBorders>
            <w:shd w:val="clear" w:color="auto" w:fill="auto"/>
            <w:vAlign w:val="center"/>
          </w:tcPr>
          <w:p w14:paraId="5AB50D61">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sz w:val="24"/>
                <w:szCs w:val="24"/>
                <w:lang w:val="en-US" w:eastAsia="zh-CN"/>
              </w:rPr>
            </w:pPr>
            <w:r>
              <w:rPr>
                <w:rFonts w:hint="default" w:ascii="Times New Roman" w:hAnsi="Times New Roman" w:cs="Times New Roman"/>
                <w:b/>
                <w:bCs/>
                <w:sz w:val="24"/>
                <w:szCs w:val="24"/>
              </w:rPr>
              <w:t>交货期：</w:t>
            </w:r>
            <w:r>
              <w:rPr>
                <w:rFonts w:hint="default" w:ascii="Times New Roman" w:hAnsi="Times New Roman" w:cs="Times New Roman"/>
                <w:sz w:val="24"/>
                <w:szCs w:val="24"/>
              </w:rPr>
              <w:t>合同</w:t>
            </w:r>
            <w:r>
              <w:rPr>
                <w:rFonts w:hint="default" w:ascii="Times New Roman" w:hAnsi="Times New Roman" w:cs="Times New Roman"/>
                <w:sz w:val="24"/>
                <w:szCs w:val="24"/>
                <w:lang w:val="en-US" w:eastAsia="zh-CN"/>
              </w:rPr>
              <w:t>签订</w:t>
            </w:r>
            <w:r>
              <w:rPr>
                <w:rFonts w:hint="default" w:ascii="Times New Roman" w:hAnsi="Times New Roman" w:cs="Times New Roman"/>
                <w:sz w:val="24"/>
                <w:szCs w:val="24"/>
              </w:rPr>
              <w:t>后</w:t>
            </w:r>
            <w:r>
              <w:rPr>
                <w:rFonts w:hint="eastAsia" w:ascii="Times New Roman" w:hAnsi="Times New Roman" w:cs="Times New Roman"/>
                <w:sz w:val="24"/>
                <w:szCs w:val="24"/>
                <w:lang w:val="en-US" w:eastAsia="zh-CN"/>
              </w:rPr>
              <w:t>5周</w:t>
            </w:r>
            <w:r>
              <w:rPr>
                <w:rFonts w:hint="default" w:ascii="Times New Roman" w:hAnsi="Times New Roman" w:cs="Times New Roman"/>
                <w:sz w:val="24"/>
                <w:szCs w:val="24"/>
                <w:lang w:val="en-US" w:eastAsia="zh-CN"/>
              </w:rPr>
              <w:t>内</w:t>
            </w:r>
          </w:p>
          <w:p w14:paraId="7A7DB873">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交付进度：</w:t>
            </w:r>
            <w:r>
              <w:rPr>
                <w:rFonts w:hint="default" w:ascii="Times New Roman" w:hAnsi="Times New Roman" w:cs="Times New Roman"/>
                <w:sz w:val="24"/>
                <w:szCs w:val="24"/>
                <w:lang w:val="en-US" w:eastAsia="zh-CN"/>
              </w:rPr>
              <w:t>由厂商根据交期及时交付，根据交付时间反馈交付进度</w:t>
            </w:r>
          </w:p>
          <w:p w14:paraId="49823C19">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sz w:val="24"/>
                <w:szCs w:val="24"/>
              </w:rPr>
            </w:pPr>
            <w:r>
              <w:rPr>
                <w:rFonts w:hint="default" w:ascii="Times New Roman" w:hAnsi="Times New Roman" w:cs="Times New Roman"/>
                <w:b/>
                <w:bCs/>
                <w:sz w:val="24"/>
                <w:szCs w:val="24"/>
              </w:rPr>
              <w:t>交付进度</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一</w:t>
            </w:r>
            <w:r>
              <w:rPr>
                <w:rFonts w:hint="default" w:ascii="Times New Roman" w:hAnsi="Times New Roman" w:cs="Times New Roman"/>
                <w:sz w:val="24"/>
                <w:szCs w:val="24"/>
              </w:rPr>
              <w:t>次性交付</w:t>
            </w:r>
          </w:p>
          <w:p w14:paraId="2CFE3CE1">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sz w:val="24"/>
                <w:szCs w:val="24"/>
                <w:lang w:eastAsia="zh-CN"/>
              </w:rPr>
            </w:pPr>
            <w:r>
              <w:rPr>
                <w:rFonts w:hint="default" w:ascii="Times New Roman" w:hAnsi="Times New Roman" w:cs="Times New Roman"/>
                <w:b/>
                <w:bCs/>
                <w:sz w:val="24"/>
                <w:szCs w:val="24"/>
              </w:rPr>
              <w:t>付款方式</w:t>
            </w:r>
            <w:r>
              <w:rPr>
                <w:rFonts w:hint="default" w:ascii="Times New Roman" w:hAnsi="Times New Roman" w:cs="Times New Roman"/>
                <w:sz w:val="24"/>
                <w:szCs w:val="24"/>
              </w:rPr>
              <w:t>：合同</w:t>
            </w:r>
            <w:r>
              <w:rPr>
                <w:rFonts w:hint="default" w:ascii="Times New Roman" w:hAnsi="Times New Roman" w:cs="Times New Roman"/>
                <w:sz w:val="24"/>
                <w:szCs w:val="24"/>
                <w:lang w:val="en-US" w:eastAsia="zh-CN"/>
              </w:rPr>
              <w:t>签订</w:t>
            </w:r>
            <w:r>
              <w:rPr>
                <w:rFonts w:hint="default" w:ascii="Times New Roman" w:hAnsi="Times New Roman" w:cs="Times New Roman"/>
                <w:sz w:val="24"/>
                <w:szCs w:val="24"/>
              </w:rPr>
              <w:t>后预付</w:t>
            </w:r>
            <w:r>
              <w:rPr>
                <w:rFonts w:hint="default" w:ascii="Times New Roman" w:hAnsi="Times New Roman" w:cs="Times New Roman"/>
                <w:sz w:val="24"/>
                <w:szCs w:val="24"/>
                <w:lang w:val="en-US" w:eastAsia="zh-CN"/>
              </w:rPr>
              <w:t>合同总金额的</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rPr>
              <w:t>0%，</w:t>
            </w:r>
            <w:r>
              <w:rPr>
                <w:rFonts w:hint="default" w:ascii="Times New Roman" w:hAnsi="Times New Roman" w:cs="Times New Roman"/>
                <w:sz w:val="24"/>
                <w:szCs w:val="24"/>
                <w:lang w:val="en-US" w:eastAsia="zh-CN"/>
              </w:rPr>
              <w:t>验收</w:t>
            </w:r>
            <w:r>
              <w:rPr>
                <w:rFonts w:hint="default" w:ascii="Times New Roman" w:hAnsi="Times New Roman" w:cs="Times New Roman"/>
                <w:sz w:val="24"/>
                <w:szCs w:val="24"/>
              </w:rPr>
              <w:t>合格</w:t>
            </w:r>
            <w:r>
              <w:rPr>
                <w:rFonts w:hint="default" w:ascii="Times New Roman" w:hAnsi="Times New Roman" w:cs="Times New Roman"/>
                <w:sz w:val="24"/>
                <w:szCs w:val="24"/>
                <w:lang w:val="en-US" w:eastAsia="zh-CN"/>
              </w:rPr>
              <w:t>并</w:t>
            </w:r>
            <w:r>
              <w:rPr>
                <w:rFonts w:hint="default" w:ascii="Times New Roman" w:hAnsi="Times New Roman" w:cs="Times New Roman"/>
                <w:sz w:val="24"/>
                <w:szCs w:val="24"/>
              </w:rPr>
              <w:t>到货</w:t>
            </w:r>
            <w:r>
              <w:rPr>
                <w:rFonts w:hint="default" w:ascii="Times New Roman" w:hAnsi="Times New Roman" w:cs="Times New Roman"/>
                <w:sz w:val="24"/>
                <w:szCs w:val="24"/>
                <w:lang w:val="en-US" w:eastAsia="zh-CN"/>
              </w:rPr>
              <w:t>付</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rPr>
              <w:t>0%</w:t>
            </w:r>
            <w:r>
              <w:rPr>
                <w:rFonts w:hint="default" w:ascii="Times New Roman" w:hAnsi="Times New Roman" w:cs="Times New Roman"/>
                <w:sz w:val="24"/>
                <w:szCs w:val="24"/>
                <w:lang w:eastAsia="zh-CN"/>
              </w:rPr>
              <w:t>尾</w:t>
            </w:r>
            <w:r>
              <w:rPr>
                <w:rFonts w:hint="default" w:ascii="Times New Roman" w:hAnsi="Times New Roman" w:cs="Times New Roman"/>
                <w:sz w:val="24"/>
                <w:szCs w:val="24"/>
              </w:rPr>
              <w:t>款</w:t>
            </w:r>
            <w:r>
              <w:rPr>
                <w:rFonts w:hint="default" w:ascii="Times New Roman" w:hAnsi="Times New Roman" w:cs="Times New Roman"/>
                <w:sz w:val="24"/>
                <w:szCs w:val="24"/>
                <w:lang w:eastAsia="zh-CN"/>
              </w:rPr>
              <w:t>。</w:t>
            </w:r>
          </w:p>
          <w:p w14:paraId="3C0194E6">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sz w:val="24"/>
                <w:szCs w:val="24"/>
              </w:rPr>
            </w:pPr>
            <w:r>
              <w:rPr>
                <w:rFonts w:hint="default" w:ascii="Times New Roman" w:hAnsi="Times New Roman" w:cs="Times New Roman"/>
                <w:b/>
                <w:bCs/>
                <w:sz w:val="24"/>
                <w:szCs w:val="24"/>
              </w:rPr>
              <w:t>验收指标及验收要求：</w:t>
            </w:r>
            <w:r>
              <w:rPr>
                <w:rFonts w:hint="default" w:ascii="Times New Roman" w:hAnsi="Times New Roman" w:cs="Times New Roman"/>
                <w:sz w:val="24"/>
                <w:szCs w:val="24"/>
              </w:rPr>
              <w:t xml:space="preserve"> </w:t>
            </w:r>
          </w:p>
          <w:p w14:paraId="021D4AB5">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尺寸要求：为定制尺寸2000mm*1800mm*3套（内部拼接）,1200mm*1400mm*2套，900mm*900mm*1套，600mm*600mm*2套，3000mm*1000mm*1套（尺寸可能会微调），高度1050mm（高度可能会微调）</w:t>
            </w:r>
          </w:p>
          <w:p w14:paraId="4760DA5A">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固有频率小于 x 方向：7-16Hz y 方向：7-16Hz</w:t>
            </w:r>
          </w:p>
          <w:p w14:paraId="2AE79EB3">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平面度不大于 0.1 mm/600X600 mm</w:t>
            </w:r>
          </w:p>
          <w:p w14:paraId="3314E5D5">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平面粗糙度不大于 0.8um</w:t>
            </w:r>
          </w:p>
          <w:p w14:paraId="730F07C7">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bCs/>
                <w:sz w:val="24"/>
                <w:szCs w:val="24"/>
              </w:rPr>
            </w:pPr>
            <w:r>
              <w:rPr>
                <w:rFonts w:hint="default" w:ascii="Times New Roman" w:hAnsi="Times New Roman" w:cs="Times New Roman"/>
                <w:b w:val="0"/>
                <w:bCs w:val="0"/>
                <w:sz w:val="24"/>
                <w:szCs w:val="24"/>
              </w:rPr>
              <w:t>固定螺孔 M6，阵距 25mm×25mm</w:t>
            </w:r>
          </w:p>
          <w:p w14:paraId="4B5085C0">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（厂家提供验收资料）</w:t>
            </w:r>
          </w:p>
          <w:p w14:paraId="6514A937">
            <w:pPr>
              <w:keepNext w:val="0"/>
              <w:keepLines w:val="0"/>
              <w:pageBreakBefore w:val="0"/>
              <w:tabs>
                <w:tab w:val="left" w:pos="6915"/>
              </w:tabs>
              <w:kinsoku/>
              <w:wordWrap/>
              <w:overflowPunct/>
              <w:topLinePunct w:val="0"/>
              <w:autoSpaceDE/>
              <w:autoSpaceDN/>
              <w:bidi w:val="0"/>
              <w:adjustRightInd/>
              <w:snapToGrid w:val="0"/>
              <w:spacing w:line="300" w:lineRule="auto"/>
              <w:jc w:val="left"/>
              <w:textAlignment w:val="auto"/>
              <w:rPr>
                <w:rFonts w:hint="eastAsia" w:ascii="Times New Roman" w:hAnsi="Times New Roman" w:cs="Times New Roman" w:eastAsiaTheme="minorEastAsia"/>
                <w:b w:val="0"/>
                <w:bCs w:val="0"/>
                <w:sz w:val="24"/>
                <w:szCs w:val="24"/>
                <w:lang w:eastAsia="zh-CN"/>
              </w:rPr>
            </w:pPr>
            <w:r>
              <w:rPr>
                <w:rFonts w:hint="default" w:ascii="Times New Roman" w:hAnsi="Times New Roman" w:cs="Times New Roman"/>
                <w:b/>
                <w:bCs/>
                <w:sz w:val="24"/>
                <w:szCs w:val="24"/>
              </w:rPr>
              <w:t>阶段性检查要求：</w:t>
            </w:r>
            <w:r>
              <w:rPr>
                <w:rFonts w:hint="default" w:ascii="Times New Roman" w:hAnsi="Times New Roman" w:cs="Times New Roman"/>
                <w:b w:val="0"/>
                <w:bCs w:val="0"/>
                <w:sz w:val="24"/>
                <w:szCs w:val="24"/>
              </w:rPr>
              <w:t>安装调试，保证设备运行平稳状态下交付</w:t>
            </w:r>
            <w:r>
              <w:rPr>
                <w:rFonts w:hint="eastAsia" w:ascii="Times New Roman" w:hAnsi="Times New Roman" w:cs="Times New Roman"/>
                <w:b w:val="0"/>
                <w:bCs w:val="0"/>
                <w:sz w:val="24"/>
                <w:szCs w:val="24"/>
                <w:lang w:eastAsia="zh-CN"/>
              </w:rPr>
              <w:t>。</w:t>
            </w:r>
          </w:p>
          <w:p w14:paraId="51BB132F">
            <w:pPr>
              <w:keepNext w:val="0"/>
              <w:keepLines w:val="0"/>
              <w:pageBreakBefore w:val="0"/>
              <w:widowControl w:val="0"/>
              <w:tabs>
                <w:tab w:val="left" w:pos="6915"/>
              </w:tabs>
              <w:kinsoku/>
              <w:wordWrap/>
              <w:overflowPunct/>
              <w:topLinePunct w:val="0"/>
              <w:autoSpaceDE/>
              <w:autoSpaceDN/>
              <w:bidi w:val="0"/>
              <w:adjustRightInd w:val="0"/>
              <w:snapToGrid w:val="0"/>
              <w:spacing w:line="300" w:lineRule="auto"/>
              <w:jc w:val="left"/>
              <w:textAlignment w:val="auto"/>
              <w:rPr>
                <w:rFonts w:hint="eastAsia"/>
                <w:kern w:val="0"/>
                <w:sz w:val="24"/>
                <w:szCs w:val="24"/>
              </w:rPr>
            </w:pPr>
            <w:r>
              <w:rPr>
                <w:rFonts w:hint="default" w:ascii="Times New Roman" w:hAnsi="Times New Roman" w:cs="Times New Roman"/>
                <w:b/>
                <w:bCs/>
                <w:sz w:val="24"/>
                <w:szCs w:val="24"/>
              </w:rPr>
              <w:t>保修及售后服务：</w:t>
            </w:r>
            <w:r>
              <w:rPr>
                <w:rFonts w:hint="eastAsia" w:ascii="Times New Roman" w:hAnsi="Times New Roman" w:eastAsia="宋体" w:cs="Times New Roman"/>
                <w:kern w:val="0"/>
                <w:sz w:val="24"/>
                <w:szCs w:val="24"/>
                <w:lang w:val="en-US" w:eastAsia="zh-CN"/>
              </w:rPr>
              <w:t>24个月，售后响应时间12小时内。</w:t>
            </w:r>
          </w:p>
        </w:tc>
        <w:tc>
          <w:tcPr>
            <w:tcW w:w="1227" w:type="dxa"/>
            <w:vAlign w:val="center"/>
          </w:tcPr>
          <w:p w14:paraId="6EE84714">
            <w:pPr>
              <w:spacing w:line="240" w:lineRule="atLeast"/>
              <w:jc w:val="center"/>
              <w:rPr>
                <w:sz w:val="24"/>
                <w:szCs w:val="24"/>
              </w:rPr>
            </w:pPr>
          </w:p>
        </w:tc>
        <w:tc>
          <w:tcPr>
            <w:tcW w:w="1000" w:type="dxa"/>
            <w:vAlign w:val="center"/>
          </w:tcPr>
          <w:p w14:paraId="4E9B639C">
            <w:pPr>
              <w:spacing w:line="240" w:lineRule="atLeast"/>
              <w:jc w:val="center"/>
              <w:rPr>
                <w:sz w:val="24"/>
                <w:szCs w:val="24"/>
              </w:rPr>
            </w:pPr>
          </w:p>
        </w:tc>
      </w:tr>
    </w:tbl>
    <w:p w14:paraId="6455552B">
      <w:pPr>
        <w:ind w:right="840"/>
        <w:rPr>
          <w:sz w:val="22"/>
          <w:szCs w:val="22"/>
        </w:rPr>
      </w:pPr>
    </w:p>
    <w:p w14:paraId="473EE6D2">
      <w:pPr>
        <w:ind w:right="840" w:firstLine="4620" w:firstLineChars="2100"/>
        <w:rPr>
          <w:sz w:val="22"/>
          <w:szCs w:val="22"/>
        </w:rPr>
      </w:pPr>
    </w:p>
    <w:p w14:paraId="6CCA392F">
      <w:pPr>
        <w:ind w:right="840" w:firstLine="4620" w:firstLineChars="2100"/>
        <w:rPr>
          <w:sz w:val="22"/>
          <w:szCs w:val="22"/>
        </w:rPr>
      </w:pPr>
    </w:p>
    <w:p w14:paraId="6484E376">
      <w:pPr>
        <w:ind w:right="840" w:firstLine="5040" w:firstLineChars="2100"/>
        <w:rPr>
          <w:sz w:val="24"/>
          <w:szCs w:val="24"/>
        </w:rPr>
      </w:pPr>
      <w:r>
        <w:rPr>
          <w:sz w:val="24"/>
          <w:szCs w:val="24"/>
        </w:rPr>
        <w:t>公司名称</w:t>
      </w:r>
      <w:r>
        <w:rPr>
          <w:rFonts w:hint="eastAsia"/>
          <w:sz w:val="24"/>
          <w:szCs w:val="24"/>
        </w:rPr>
        <w:t>（盖章）：</w:t>
      </w:r>
    </w:p>
    <w:p w14:paraId="1425069F">
      <w:pPr>
        <w:ind w:right="840"/>
        <w:jc w:val="center"/>
        <w:rPr>
          <w:sz w:val="24"/>
          <w:szCs w:val="24"/>
        </w:rPr>
      </w:pPr>
      <w:r>
        <w:rPr>
          <w:rFonts w:hint="eastAsia"/>
          <w:sz w:val="24"/>
          <w:szCs w:val="24"/>
        </w:rPr>
        <w:t xml:space="preserve"> </w:t>
      </w:r>
      <w:r>
        <w:rPr>
          <w:sz w:val="24"/>
          <w:szCs w:val="24"/>
        </w:rPr>
        <w:t xml:space="preserve">                            日期</w:t>
      </w:r>
      <w:r>
        <w:rPr>
          <w:rFonts w:hint="eastAsia"/>
          <w:sz w:val="24"/>
          <w:szCs w:val="24"/>
        </w:rPr>
        <w:t>：</w:t>
      </w:r>
    </w:p>
    <w:p w14:paraId="7CAF3A71"/>
    <w:p w14:paraId="5E7617FD"/>
    <w:p w14:paraId="77E90963"/>
    <w:p w14:paraId="28FBE96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AE09AC"/>
    <w:rsid w:val="2AAE0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2026-03-03T08:21:00Z</dcterms:created>
  <dc:creator>DELL</dc:creator>
  <cp:lastModifiedBy>DELL</cp:lastModifiedBy>
  <dcterms:modified xsi:type="dcterms:W3CDTF">2026-03-03T08:30:18Z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04EDD314452B4545A7BB46C9E00D1B40_11</vt:lpwstr>
  </property>
  <property fmtid="{D5CDD505-2E9C-101B-9397-08002B2CF9AE}" pid="4" name="KSOTemplateDocerSaveRecord">
    <vt:lpwstr>eyJoZGlkIjoiN2RmNGQ2MDc0ZGFiNmIyNjNmMmJiNzcxMzg1OWQzY2YifQ==</vt:lpwstr>
  </property>
</Properties>
</file>