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900"/>
        <w:gridCol w:w="5945"/>
        <w:gridCol w:w="1202"/>
        <w:gridCol w:w="958"/>
      </w:tblGrid>
      <w:tr w14:paraId="05E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76" w:type="dxa"/>
            <w:vAlign w:val="center"/>
          </w:tcPr>
          <w:p w14:paraId="2065B20D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900" w:type="dxa"/>
            <w:vAlign w:val="center"/>
          </w:tcPr>
          <w:p w14:paraId="1C771C07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5945" w:type="dxa"/>
            <w:vAlign w:val="center"/>
          </w:tcPr>
          <w:p w14:paraId="63C1663B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技术指标</w:t>
            </w:r>
          </w:p>
        </w:tc>
        <w:tc>
          <w:tcPr>
            <w:tcW w:w="1202" w:type="dxa"/>
            <w:vAlign w:val="center"/>
          </w:tcPr>
          <w:p w14:paraId="4FD9FBB8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偏离说明</w:t>
            </w:r>
          </w:p>
          <w:p w14:paraId="149CE430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(</w:t>
            </w:r>
            <w:r>
              <w:rPr>
                <w:sz w:val="21"/>
                <w:szCs w:val="21"/>
              </w:rPr>
              <w:t>无偏离</w:t>
            </w:r>
            <w:r>
              <w:rPr>
                <w:rFonts w:hint="eastAsia"/>
                <w:sz w:val="21"/>
                <w:szCs w:val="21"/>
              </w:rPr>
              <w:t>/</w:t>
            </w:r>
            <w:r>
              <w:rPr>
                <w:sz w:val="21"/>
                <w:szCs w:val="21"/>
              </w:rPr>
              <w:t>正偏离</w:t>
            </w:r>
            <w:r>
              <w:rPr>
                <w:rFonts w:hint="eastAsia"/>
                <w:sz w:val="21"/>
                <w:szCs w:val="21"/>
              </w:rPr>
              <w:t>/</w:t>
            </w:r>
            <w:r>
              <w:rPr>
                <w:sz w:val="21"/>
                <w:szCs w:val="21"/>
              </w:rPr>
              <w:t>负偏离</w:t>
            </w:r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958" w:type="dxa"/>
            <w:vAlign w:val="center"/>
          </w:tcPr>
          <w:p w14:paraId="2BBF244B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偏离值</w:t>
            </w:r>
          </w:p>
        </w:tc>
      </w:tr>
      <w:tr w14:paraId="17F3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776" w:type="dxa"/>
            <w:vAlign w:val="center"/>
          </w:tcPr>
          <w:p w14:paraId="3F375B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1E0A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安全联锁系统</w:t>
            </w:r>
          </w:p>
        </w:tc>
        <w:tc>
          <w:tcPr>
            <w:tcW w:w="5945" w:type="dxa"/>
            <w:vAlign w:val="center"/>
          </w:tcPr>
          <w:p w14:paraId="3BB6590D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安全联锁系统包括人身安全联锁系统和设备安全联锁系统</w:t>
            </w: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。</w:t>
            </w:r>
          </w:p>
          <w:p w14:paraId="137DB636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1、人身安全联锁系统1套</w:t>
            </w:r>
          </w:p>
          <w:tbl>
            <w:tblPr>
              <w:tblStyle w:val="3"/>
              <w:tblW w:w="4998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53"/>
              <w:gridCol w:w="4574"/>
              <w:gridCol w:w="490"/>
            </w:tblGrid>
            <w:tr w14:paraId="777AF39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571" w:type="pct"/>
                  <w:vAlign w:val="center"/>
                </w:tcPr>
                <w:p w14:paraId="60743EAA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4000" w:type="pct"/>
                  <w:vAlign w:val="center"/>
                </w:tcPr>
                <w:p w14:paraId="6694D9F8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 w:val="21"/>
                      <w:szCs w:val="21"/>
                    </w:rPr>
                    <w:t>技术要求</w:t>
                  </w:r>
                </w:p>
              </w:tc>
              <w:tc>
                <w:tcPr>
                  <w:tcW w:w="428" w:type="pct"/>
                  <w:vAlign w:val="center"/>
                </w:tcPr>
                <w:p w14:paraId="01C407FB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 w:val="21"/>
                      <w:szCs w:val="21"/>
                    </w:rPr>
                    <w:t>数量</w:t>
                  </w:r>
                </w:p>
              </w:tc>
            </w:tr>
            <w:tr w14:paraId="0DD5068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1" w:type="pct"/>
                  <w:vAlign w:val="center"/>
                </w:tcPr>
                <w:p w14:paraId="5B947FF4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联锁卡置换柜</w:t>
                  </w:r>
                </w:p>
              </w:tc>
              <w:tc>
                <w:tcPr>
                  <w:tcW w:w="4000" w:type="pct"/>
                </w:tcPr>
                <w:p w14:paraId="70F10741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主机：处理器≥I5，内存≥32GB，固态硬盘≥1T，网口10/100/1000M 自适应，电源100V-240V/50Hz/60Hz自适应；</w:t>
                  </w:r>
                </w:p>
                <w:p w14:paraId="69B032EF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触显模块：电容触摸屏，尺寸≥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31.5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寸；</w:t>
                  </w:r>
                </w:p>
                <w:p w14:paraId="279EF17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收发卡模块：配备2个收发卡模块，分别支持普通联锁门禁卡和管理卡的收发；支持读写 ISO14443，ISO15693的非接触卡，支持卡回收功能，支持卡预空提醒，卡空提醒，回收卡满，发卡故障等多种报警状态；卡量≥100张，通讯接口为RS232串口，配备的两种卡支持印制LOGO和文字；根据读取的身份卡，以及预设的权限实现不同类型联锁卡的收发。</w:t>
                  </w:r>
                </w:p>
                <w:p w14:paraId="4E4E5408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读卡模块：86型，支持RS485/Wiegand双模通讯；读卡类型支持ISO14443A，ISO14443B标准；支持开启 M1、CPU 加密认证，可防止手机NFC复制；具备开关量输入接口；与采购人现有门禁系统兼容；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 xml:space="preserve"> </w:t>
                  </w:r>
                </w:p>
                <w:p w14:paraId="4C6D77B4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联锁钥匙和指示灯：柜体上集成联锁钥匙、钥匙指示灯，并可以输出数字开关量信号；</w:t>
                  </w:r>
                </w:p>
                <w:p w14:paraId="1AFFDE5E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卡发放功能：读取个人身份卡信息并鉴权、根据权限吐出普通联锁门禁卡或管理卡，存储并展示取卡信息，支持语音和文字提示；机身集成摄像头可在取还卡时间段进行自动拍摄；</w:t>
                  </w:r>
                </w:p>
                <w:p w14:paraId="650280C8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卡回收功能：识别普通联锁门禁卡和管理卡并收回，存储并展示还卡信息，支持语音和文字提示；</w:t>
                  </w:r>
                </w:p>
                <w:p w14:paraId="2C13612F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卡在位检测功能：卡全部归位实时检测，并提供可访问的输出信息；</w:t>
                  </w:r>
                </w:p>
                <w:p w14:paraId="1218832E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身份录入功能：支持对人员信息、人员身份卡信息进行录入，并对权限进行配置；</w:t>
                  </w:r>
                </w:p>
                <w:p w14:paraId="590EDCBD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产品外形要求：下图供参考，机柜上方为触显模块，中间放置读卡器、联锁钥匙、钥匙指示灯，下方为两个卡出入口，高度需便于人站立操作，机身LOGO可订制。产品外壳需提供效果图，并经采购人同意后制作。</w:t>
                  </w:r>
                </w:p>
                <w:p w14:paraId="1C79F5BD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drawing>
                      <wp:inline distT="0" distB="0" distL="0" distR="0">
                        <wp:extent cx="977265" cy="1293495"/>
                        <wp:effectExtent l="0" t="0" r="13335" b="1905"/>
                        <wp:docPr id="1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7265" cy="1293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28" w:type="pct"/>
                  <w:vAlign w:val="center"/>
                </w:tcPr>
                <w:p w14:paraId="0559C2E7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1台</w:t>
                  </w:r>
                </w:p>
              </w:tc>
            </w:tr>
            <w:tr w14:paraId="51EF73E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1" w:type="pct"/>
                  <w:vAlign w:val="center"/>
                </w:tcPr>
                <w:p w14:paraId="430A934C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联锁子站</w:t>
                  </w:r>
                </w:p>
              </w:tc>
              <w:tc>
                <w:tcPr>
                  <w:tcW w:w="4000" w:type="pct"/>
                </w:tcPr>
                <w:p w14:paraId="75FD7ACD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接口模块：IO接口模块，集成2个及以上 RJ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45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端口，支持冗余协议、MRP、PROFINET、SNMP等；背板供电；</w:t>
                  </w:r>
                </w:p>
                <w:p w14:paraId="20ADBB82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数字量输入模块：通道数≥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16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，24V直流输入；输入延迟时间 0,05~20ms；自带诊断功能，包括电压监控、断线、故障报警等，自带诊断显示LED；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 xml:space="preserve"> </w:t>
                  </w:r>
                </w:p>
                <w:p w14:paraId="38582D08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数字量输出模块：通道数≥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16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，24V直流输出，单通道最大输出电流0.5A；自带诊断功能，包括电压监控、断线、故障报警等，自带诊断显示LED；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 xml:space="preserve"> </w:t>
                  </w:r>
                </w:p>
                <w:p w14:paraId="164CF14F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通讯模块：支持串行通讯 RS422, RS485、RS232，支持Modbus协议；</w:t>
                  </w:r>
                </w:p>
                <w:p w14:paraId="12DE1D73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韦根转4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85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模块：额定电压DC9-15V，韦根信号格式支持标准的WG26/WG34，485 通讯参数9600/N/8/1，转换器采用高抗干扰MCU 处理芯片，内置看门狗电路，自动检测设备的工作做状态，工作异常时自动复位重置，支持导轨式安装；</w:t>
                  </w:r>
                </w:p>
                <w:p w14:paraId="20D21F32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网络模块：非网管型，10/100/1000 Mbit/s RJ45端口≥4个，1000 Mbit/s光纤端口≥1个；支持建立星形和线形拓扑；具备LED 诊断功能；</w:t>
                  </w:r>
                </w:p>
                <w:p w14:paraId="2DAC8D19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电源模块：调节型电源输入：110V-240VDC； 输出：24VDC/10A；具有过负载，过电压，过温度保护功能；提供故障反馈信号；</w:t>
                  </w:r>
                </w:p>
                <w:p w14:paraId="07C1AB7F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其他：子站支持与冗余PLC通信的介质冗余协议；配备断路器、导轨、继电器等必备的辅件；所有模块集成安装在一个机箱中，箱盖带玻璃检视窗，支持壁挂；子站需要与现有系统中的冗余控制器兼容；子站外壳需提供效果图，并经采购人同意后制作。</w:t>
                  </w:r>
                </w:p>
              </w:tc>
              <w:tc>
                <w:tcPr>
                  <w:tcW w:w="428" w:type="pct"/>
                  <w:vAlign w:val="center"/>
                </w:tcPr>
                <w:p w14:paraId="2BDCD54B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  <w:highlight w:val="yellow"/>
                    </w:rPr>
                  </w:pP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4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台</w:t>
                  </w:r>
                </w:p>
              </w:tc>
            </w:tr>
            <w:tr w14:paraId="48C3A3A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1" w:type="pct"/>
                  <w:vAlign w:val="center"/>
                </w:tcPr>
                <w:p w14:paraId="5C1163C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工业交换机</w:t>
                  </w:r>
                </w:p>
              </w:tc>
              <w:tc>
                <w:tcPr>
                  <w:tcW w:w="4000" w:type="pct"/>
                </w:tcPr>
                <w:p w14:paraId="222CCB31">
                  <w:pPr>
                    <w:tabs>
                      <w:tab w:val="left" w:pos="6915"/>
                    </w:tabs>
                    <w:jc w:val="left"/>
                    <w:rPr>
                      <w:rFonts w:ascii="MS Gothic" w:hAnsi="MS Gothic" w:eastAsia="MS Gothic" w:cs="MS Gothic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网管型，10/100/1000 Mbit/s RJ45端口≥6个，1000 Mbit/s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 xml:space="preserve"> SFP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光纤端口≥2个，1个控制台端口；支持冗余协议以及RSTP、VLAN、IGMP、MRP、PROFENET等协议，支持光纤环网，LED 诊断功能；与子站通信兼容；配光模块、光纤终端盒。</w:t>
                  </w:r>
                </w:p>
              </w:tc>
              <w:tc>
                <w:tcPr>
                  <w:tcW w:w="428" w:type="pct"/>
                  <w:vAlign w:val="center"/>
                </w:tcPr>
                <w:p w14:paraId="2B7BD5B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2台</w:t>
                  </w:r>
                </w:p>
              </w:tc>
            </w:tr>
            <w:tr w14:paraId="6B16CB5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1" w:type="pct"/>
                  <w:vAlign w:val="center"/>
                </w:tcPr>
                <w:p w14:paraId="3B17ED9B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机柜</w:t>
                  </w:r>
                </w:p>
              </w:tc>
              <w:tc>
                <w:tcPr>
                  <w:tcW w:w="4000" w:type="pct"/>
                </w:tcPr>
                <w:p w14:paraId="2003359E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尺寸600mm宽*800mm深*2000mm高，机柜框架厚度不小于1.5mm；颜色：RAL9004黑色；前后门可开启，前面玻璃门，后门配散热风扇和过滤器，配备空开、电源滤波器、盲板、托盘、理线架、线槽；机柜内设置接地排。</w:t>
                  </w:r>
                </w:p>
              </w:tc>
              <w:tc>
                <w:tcPr>
                  <w:tcW w:w="428" w:type="pct"/>
                  <w:vAlign w:val="center"/>
                </w:tcPr>
                <w:p w14:paraId="362CADDD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1台</w:t>
                  </w:r>
                </w:p>
              </w:tc>
            </w:tr>
            <w:tr w14:paraId="39C613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1" w:type="pct"/>
                  <w:vAlign w:val="center"/>
                </w:tcPr>
                <w:p w14:paraId="2D867705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线缆、辅材与安装集成</w:t>
                  </w:r>
                </w:p>
              </w:tc>
              <w:tc>
                <w:tcPr>
                  <w:tcW w:w="4000" w:type="pct"/>
                </w:tcPr>
                <w:p w14:paraId="59AF924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线缆：RVVP 4×0.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7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5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mm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  <w:vertAlign w:val="superscript"/>
                    </w:rPr>
                    <w:t>2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信号线1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500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米；ZR-RVV 3×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4mm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  <w:vertAlign w:val="superscript"/>
                    </w:rPr>
                    <w:t>2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电源线3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00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米；ZR-RVV 3×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1.5mm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  <w:vertAlign w:val="superscript"/>
                    </w:rPr>
                    <w:t>2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电源线3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00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米；六类网线3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00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米；4芯光缆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300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米；信号线需具备CCC或CE认证。</w:t>
                  </w:r>
                </w:p>
                <w:p w14:paraId="208F268B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辅材：读卡器、语音播报器、声光报警各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6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个，一批接线端子、热缩管、扎带、线缆标签等。其中读卡器为RS485/Wiegand双模，支持ISO14443A/ISO14443B标准，可开启 M1、CPU 加密认证，防止NFC复制，与采购人现有门禁系统兼容。语音播报器可定制至少三条语音，支持通过USB更换音频文件，带支架可上墙安装，工作电压DC 24V，音量≥85dB，通过开关量触发；声光报警为一体立柱式红黄绿三层灯柱，带蜂鸣器，音量≥85dB，工作电压DC 24V，通过开关量触发，支持防水可户外上墙安装。</w:t>
                  </w:r>
                </w:p>
                <w:p w14:paraId="3E0AA76F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提供设备的现场安装，线缆铺设以及线缆接头制作、接线，并与现场的冗余控制器进行集成与调试。</w:t>
                  </w:r>
                </w:p>
              </w:tc>
              <w:tc>
                <w:tcPr>
                  <w:tcW w:w="428" w:type="pct"/>
                  <w:vAlign w:val="center"/>
                </w:tcPr>
                <w:p w14:paraId="16C9B00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1项</w:t>
                  </w:r>
                </w:p>
              </w:tc>
            </w:tr>
          </w:tbl>
          <w:p w14:paraId="5DF591EA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 w:val="21"/>
                <w:szCs w:val="21"/>
              </w:rPr>
            </w:pPr>
          </w:p>
          <w:p w14:paraId="5A709459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ascii="宋体" w:hAnsi="宋体"/>
                <w:bCs/>
                <w:sz w:val="21"/>
                <w:szCs w:val="21"/>
              </w:rPr>
              <w:t>2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、设备安全联锁系统1套</w:t>
            </w:r>
          </w:p>
          <w:tbl>
            <w:tblPr>
              <w:tblStyle w:val="3"/>
              <w:tblW w:w="0" w:type="auto"/>
              <w:tblInd w:w="17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3"/>
              <w:gridCol w:w="4237"/>
              <w:gridCol w:w="612"/>
            </w:tblGrid>
            <w:tr w14:paraId="74DE035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34" w:type="dxa"/>
                  <w:vAlign w:val="center"/>
                </w:tcPr>
                <w:p w14:paraId="2BF806FB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7938" w:type="dxa"/>
                  <w:vAlign w:val="center"/>
                </w:tcPr>
                <w:p w14:paraId="12A591FB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 w:val="21"/>
                      <w:szCs w:val="21"/>
                    </w:rPr>
                    <w:t>技术要求</w:t>
                  </w:r>
                </w:p>
              </w:tc>
              <w:tc>
                <w:tcPr>
                  <w:tcW w:w="851" w:type="dxa"/>
                  <w:vAlign w:val="center"/>
                </w:tcPr>
                <w:p w14:paraId="1CBFF9FC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 w:val="21"/>
                      <w:szCs w:val="21"/>
                    </w:rPr>
                    <w:t>数量</w:t>
                  </w:r>
                </w:p>
              </w:tc>
            </w:tr>
            <w:tr w14:paraId="108C288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34" w:type="dxa"/>
                  <w:vAlign w:val="center"/>
                </w:tcPr>
                <w:p w14:paraId="0433843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sz w:val="21"/>
                      <w:szCs w:val="21"/>
                    </w:rPr>
                    <w:t>设备联锁控制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器</w:t>
                  </w:r>
                </w:p>
              </w:tc>
              <w:tc>
                <w:tcPr>
                  <w:tcW w:w="7938" w:type="dxa"/>
                </w:tcPr>
                <w:p w14:paraId="221206FC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PLC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CPU：用于程序的工作存储≥1MB，数据存储≥4MB，位运算的处理时间≤20ns，内置交换机，集成的以太网端口≥2个，支持LAD、STL、SCL、CFC等编程语言，配备的存储卡容量≥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24 MB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；</w:t>
                  </w:r>
                </w:p>
                <w:p w14:paraId="07367417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数字量输入模块：通道数≥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96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个，通道输入延时时间≤4ms；输入额定电压DC 24V，带通道级诊断功能；包含直插式前连接器；</w:t>
                  </w:r>
                </w:p>
                <w:p w14:paraId="4F104FFA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数字量输出模块：通道数≥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32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个，额定输出电压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DC 24V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，额定输出电流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0.5A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，带通道级诊断功能；通道的输出延时≤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500μs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；包含直插式前连接器。</w:t>
                  </w:r>
                </w:p>
                <w:p w14:paraId="3FD8F772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模拟量输入模块：输入通道≥1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6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个；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16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位分辨率，可变测量范围，支持电压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/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电流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/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热电阻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/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热电偶信号类型，支持两线制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/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四线制。</w:t>
                  </w:r>
                </w:p>
                <w:p w14:paraId="65359329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网络模块：10/100/1000 Mbit/s RJ45端口≥4个, 1000 Mbps光纤端口≥1个，支持RSTP、VLAN、PROFENET等协议；</w:t>
                  </w:r>
                </w:p>
                <w:p w14:paraId="0199B127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继电器模块：超薄型导轨式固态继电器；</w:t>
                  </w:r>
                </w:p>
                <w:p w14:paraId="002DC564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UPS模块：主机支持机架式安装， 额定输出容量3kVA，输出功率因数≥0.9，输出电压220V，配备2U电池包，确保电池满载后备运行时间不少于20分钟。</w:t>
                  </w:r>
                </w:p>
                <w:p w14:paraId="05A7C70E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机柜：以上模块集成部署在600mm宽*800mm深*2000mm高的控制机柜中，框架厚度不小于1.5mm；颜色：RAL9004黑色；前后门可开启，前面玻璃门，后门配散热风扇和过滤器；机柜中配备空开、三孔插座、线缆夹、接线端子等。</w:t>
                  </w:r>
                </w:p>
              </w:tc>
              <w:tc>
                <w:tcPr>
                  <w:tcW w:w="851" w:type="dxa"/>
                  <w:vAlign w:val="center"/>
                </w:tcPr>
                <w:p w14:paraId="0DE19C4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1台</w:t>
                  </w:r>
                </w:p>
              </w:tc>
            </w:tr>
            <w:tr w14:paraId="7BE0D7D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34" w:type="dxa"/>
                  <w:vAlign w:val="center"/>
                </w:tcPr>
                <w:p w14:paraId="4DA695F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线缆、辅材与安装集成</w:t>
                  </w:r>
                </w:p>
              </w:tc>
              <w:tc>
                <w:tcPr>
                  <w:tcW w:w="7938" w:type="dxa"/>
                </w:tcPr>
                <w:p w14:paraId="4843C94F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线缆：RVVP 4×0.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7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5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mm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  <w:vertAlign w:val="superscript"/>
                    </w:rPr>
                    <w:t>2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信号线1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000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米；ZR-RVV 3×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4mm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  <w:vertAlign w:val="superscript"/>
                    </w:rPr>
                    <w:t>2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电源线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100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米；六类网线3</w:t>
                  </w:r>
                  <w:r>
                    <w:rPr>
                      <w:rFonts w:ascii="宋体" w:hAnsi="宋体"/>
                      <w:bCs/>
                      <w:sz w:val="21"/>
                      <w:szCs w:val="21"/>
                    </w:rPr>
                    <w:t>00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米；信号线需具备CCC或CE认证。</w:t>
                  </w:r>
                </w:p>
                <w:p w14:paraId="0AD2E55E">
                  <w:pPr>
                    <w:tabs>
                      <w:tab w:val="left" w:pos="6915"/>
                    </w:tabs>
                    <w:jc w:val="left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提供</w:t>
                  </w:r>
                  <w:r>
                    <w:rPr>
                      <w:rFonts w:hint="eastAsia" w:ascii="宋体" w:hAnsi="宋体"/>
                      <w:sz w:val="21"/>
                      <w:szCs w:val="21"/>
                    </w:rPr>
                    <w:t>设备的</w:t>
                  </w: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安装，线缆铺设以及线缆接头制作、接线，现场集成与调试。</w:t>
                  </w:r>
                </w:p>
              </w:tc>
              <w:tc>
                <w:tcPr>
                  <w:tcW w:w="851" w:type="dxa"/>
                  <w:vAlign w:val="center"/>
                </w:tcPr>
                <w:p w14:paraId="57B5FE12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 w:val="21"/>
                      <w:szCs w:val="21"/>
                    </w:rPr>
                    <w:t>1项</w:t>
                  </w:r>
                </w:p>
              </w:tc>
            </w:tr>
          </w:tbl>
          <w:p w14:paraId="34685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textAlignment w:val="auto"/>
              <w:rPr>
                <w:rFonts w:hint="eastAsia"/>
                <w:bCs/>
                <w:sz w:val="21"/>
                <w:szCs w:val="21"/>
              </w:rPr>
            </w:pPr>
          </w:p>
        </w:tc>
        <w:tc>
          <w:tcPr>
            <w:tcW w:w="1202" w:type="dxa"/>
            <w:vAlign w:val="center"/>
          </w:tcPr>
          <w:p w14:paraId="11BF7B33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14:paraId="5301A3E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E591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776" w:type="dxa"/>
            <w:vAlign w:val="center"/>
          </w:tcPr>
          <w:p w14:paraId="4DF2FEE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73B1D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商务条款</w:t>
            </w:r>
          </w:p>
        </w:tc>
        <w:tc>
          <w:tcPr>
            <w:tcW w:w="5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BA85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</w:rPr>
              <w:t>合同签订之日起45天内将货物送达指定地点；合同签订之日起2个月内完成设备的安装集成；合同签订之日起5个月内完成联调。</w:t>
            </w:r>
          </w:p>
          <w:p w14:paraId="417D51A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</w:rPr>
              <w:t>合同签订之日起7日内，提供图纸经采购人确认后组装；合同签订之日起45天内将货物送达指定地点；合同签订之日起2个月内完成设备的安装集成；合同签订之日起5个月内完成联调。</w:t>
            </w:r>
          </w:p>
          <w:p w14:paraId="19B327D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</w:rPr>
              <w:t>合同签订后支付20%合同款，货到验收合格后支付50%合同款，调试完成并验收合格后支付30%尾款。</w:t>
            </w:r>
          </w:p>
          <w:p w14:paraId="757E932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验收指标及验收要求：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</w:rPr>
              <w:t>乙方提供的验收材料包括：产品合格证、出厂测试报告、电气原理图。</w:t>
            </w:r>
          </w:p>
          <w:p w14:paraId="2F414DC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 w:eastAsia="zh-CN"/>
              </w:rPr>
              <w:t>保修及售后服务：</w:t>
            </w:r>
          </w:p>
          <w:p w14:paraId="2032309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质保期不少于24个月，起始日期以收到货物并通过验收之日开始计算。质保期内，供应商负责免费更换和维修零部件。供应商应于接到采购人通知后2小时内（法定假期除外）进行响应；需要抵达现场进行维修的，供应商应在12小时内抵达现场，并在合理的时间内完成维修。</w:t>
            </w:r>
          </w:p>
          <w:p w14:paraId="045BECA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 w:eastAsia="zh-CN"/>
              </w:rPr>
              <w:t>其它：</w:t>
            </w:r>
          </w:p>
          <w:p w14:paraId="0729A7C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供应商需提供设备的现场安装集成服务，包括但不限于安装、线缆接头制作、接线、信号通断和逻辑测试等，并配合陶璨束流测试平台辐射安全许可证的取证。</w:t>
            </w:r>
          </w:p>
          <w:p w14:paraId="1546230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提供总报价和分项报价；提供联锁子站三维图、信号线的CCC或CE认证证书复印件；提供现场作业人员名单，其中至少3人具备电工作业证，并提供证书复印件及近半年内任意三个月的社保证明材料。</w:t>
            </w:r>
          </w:p>
        </w:tc>
        <w:tc>
          <w:tcPr>
            <w:tcW w:w="1202" w:type="dxa"/>
            <w:vAlign w:val="center"/>
          </w:tcPr>
          <w:p w14:paraId="7847403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14:paraId="0D001AB6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6484E376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34CD995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     </w:t>
      </w: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53F5D"/>
    <w:rsid w:val="32E5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2026-04-13T09:44:00Z</dcterms:created>
  <dc:creator>DELL</dc:creator>
  <cp:lastModifiedBy>DELL</cp:lastModifiedBy>
  <dcterms:modified xsi:type="dcterms:W3CDTF">2026-04-13T09:58:04Z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1108D3AD20B54C838B63F25818A934AA_11</vt:lpwstr>
  </property>
  <property fmtid="{D5CDD505-2E9C-101B-9397-08002B2CF9AE}" pid="4" name="KSOTemplateDocerSaveRecord">
    <vt:lpwstr>eyJoZGlkIjoiN2RmNGQ2MDc0ZGFiNmIyNjNmMmJiNzcxMzg1OWQzY2YifQ==</vt:lpwstr>
  </property>
</Properties>
</file>