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6"/>
        <w:tblW w:w="10098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5"/>
        <w:gridCol w:w="1143"/>
        <w:gridCol w:w="5743"/>
        <w:gridCol w:w="1464"/>
        <w:gridCol w:w="1023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</w:trPr>
        <w:tc>
          <w:tcPr>
            <w:tcW w:w="725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143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743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64" w:type="dxa"/>
            <w:vAlign w:val="center"/>
          </w:tcPr>
          <w:p w14:paraId="37F7A556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1023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0" w:hRule="atLeast"/>
        </w:trPr>
        <w:tc>
          <w:tcPr>
            <w:tcW w:w="725" w:type="dxa"/>
            <w:vAlign w:val="center"/>
          </w:tcPr>
          <w:p w14:paraId="185CA09D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143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348A5544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</w:rPr>
              <w:t>电化学工作站</w:t>
            </w:r>
          </w:p>
        </w:tc>
        <w:tc>
          <w:tcPr>
            <w:tcW w:w="5743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tbl>
            <w:tblPr>
              <w:tblStyle w:val="6"/>
              <w:tblW w:w="4997" w:type="pct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4731"/>
              <w:gridCol w:w="783"/>
            </w:tblGrid>
            <w:tr w14:paraId="47A3346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4" w:hRule="atLeast"/>
              </w:trPr>
              <w:tc>
                <w:tcPr>
                  <w:tcW w:w="4289" w:type="pct"/>
                </w:tcPr>
                <w:p w14:paraId="5C3D4888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技术参数需求</w:t>
                  </w:r>
                </w:p>
              </w:tc>
              <w:tc>
                <w:tcPr>
                  <w:tcW w:w="710" w:type="pct"/>
                </w:tcPr>
                <w:p w14:paraId="3614663E">
                  <w:pPr>
                    <w:tabs>
                      <w:tab w:val="left" w:pos="6915"/>
                    </w:tabs>
                    <w:jc w:val="left"/>
                    <w:rPr>
                      <w:bCs/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数量</w:t>
                  </w:r>
                </w:p>
              </w:tc>
            </w:tr>
            <w:tr w14:paraId="08E463AA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51" w:hRule="atLeast"/>
              </w:trPr>
              <w:tc>
                <w:tcPr>
                  <w:tcW w:w="4289" w:type="pct"/>
                </w:tcPr>
                <w:p w14:paraId="0144E275">
                  <w:pPr>
                    <w:numPr>
                      <w:ilvl w:val="0"/>
                      <w:numId w:val="1"/>
                    </w:numPr>
                    <w:tabs>
                      <w:tab w:val="left" w:pos="6915"/>
                    </w:tabs>
                    <w:spacing w:line="288" w:lineRule="auto"/>
                    <w:ind w:left="357" w:hanging="357"/>
                    <w:jc w:val="left"/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</w:rPr>
                    <w:t>测量</w:t>
                  </w:r>
                  <w:r>
                    <w:rPr>
                      <w:rFonts w:hint="eastAsia"/>
                      <w:bCs/>
                      <w:szCs w:val="21"/>
                    </w:rPr>
                    <w:t>电压</w:t>
                  </w:r>
                  <w:r>
                    <w:rPr>
                      <w:bCs/>
                      <w:szCs w:val="21"/>
                    </w:rPr>
                    <w:t>范围≥±10 V</w:t>
                  </w:r>
                  <w:r>
                    <w:rPr>
                      <w:rFonts w:hint="eastAsia"/>
                      <w:bCs/>
                      <w:szCs w:val="21"/>
                    </w:rPr>
                    <w:t>，</w:t>
                  </w:r>
                  <w:r>
                    <w:rPr>
                      <w:bCs/>
                      <w:szCs w:val="21"/>
                    </w:rPr>
                    <w:t>分辨率≤0.1 µV</w:t>
                  </w:r>
                  <w:r>
                    <w:rPr>
                      <w:rFonts w:hint="eastAsia"/>
                      <w:bCs/>
                      <w:szCs w:val="21"/>
                    </w:rPr>
                    <w:t>，</w:t>
                  </w:r>
                  <w:r>
                    <w:rPr>
                      <w:bCs/>
                      <w:szCs w:val="21"/>
                    </w:rPr>
                    <w:t>精度≤1 mV±满量程的0.2%；</w:t>
                  </w:r>
                </w:p>
                <w:p w14:paraId="4AB05754">
                  <w:pPr>
                    <w:numPr>
                      <w:ilvl w:val="0"/>
                      <w:numId w:val="1"/>
                    </w:numPr>
                    <w:tabs>
                      <w:tab w:val="left" w:pos="6915"/>
                    </w:tabs>
                    <w:spacing w:line="288" w:lineRule="auto"/>
                    <w:ind w:left="357" w:hanging="357"/>
                    <w:jc w:val="left"/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</w:rPr>
                    <w:t>测量电流范围</w:t>
                  </w:r>
                  <w:r>
                    <w:rPr>
                      <w:rFonts w:hint="eastAsia"/>
                      <w:bCs/>
                      <w:szCs w:val="21"/>
                    </w:rPr>
                    <w:t>覆盖</w:t>
                  </w:r>
                  <w:r>
                    <w:rPr>
                      <w:bCs/>
                      <w:szCs w:val="21"/>
                    </w:rPr>
                    <w:t>100 pA~1 A</w:t>
                  </w:r>
                  <w:r>
                    <w:rPr>
                      <w:rFonts w:hint="eastAsia"/>
                      <w:bCs/>
                      <w:szCs w:val="21"/>
                    </w:rPr>
                    <w:t>，</w:t>
                  </w:r>
                  <w:r>
                    <w:rPr>
                      <w:bCs/>
                      <w:color w:val="000000" w:themeColor="text1"/>
                      <w:szCs w:val="21"/>
                      <w14:textFill>
                        <w14:solidFill>
                          <w14:schemeClr w14:val="tx1"/>
                        </w14:solidFill>
                      </w14:textFill>
                    </w:rPr>
                    <w:t>分辨率</w:t>
                  </w:r>
                  <w:r>
                    <w:rPr>
                      <w:bCs/>
                      <w:szCs w:val="21"/>
                    </w:rPr>
                    <w:t>≤4 fA（量程的0.004%）</w:t>
                  </w:r>
                  <w:r>
                    <w:rPr>
                      <w:rFonts w:hint="eastAsia"/>
                      <w:bCs/>
                      <w:szCs w:val="21"/>
                    </w:rPr>
                    <w:t>，</w:t>
                  </w:r>
                  <w:r>
                    <w:rPr>
                      <w:bCs/>
                      <w:szCs w:val="21"/>
                    </w:rPr>
                    <w:t>精度≤10 pA±满量程的 0.1%；</w:t>
                  </w:r>
                </w:p>
                <w:p w14:paraId="03C6C531">
                  <w:pPr>
                    <w:numPr>
                      <w:ilvl w:val="0"/>
                      <w:numId w:val="1"/>
                    </w:numPr>
                    <w:tabs>
                      <w:tab w:val="left" w:pos="6915"/>
                    </w:tabs>
                    <w:spacing w:line="288" w:lineRule="auto"/>
                    <w:ind w:left="357" w:hanging="357"/>
                    <w:jc w:val="left"/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</w:rPr>
                    <w:t>施加</w:t>
                  </w:r>
                  <w:r>
                    <w:rPr>
                      <w:bCs/>
                      <w:color w:val="000000" w:themeColor="text1"/>
                      <w:szCs w:val="21"/>
                      <w14:textFill>
                        <w14:solidFill>
                          <w14:schemeClr w14:val="tx1"/>
                        </w14:solidFill>
                      </w14:textFill>
                    </w:rPr>
                    <w:t>电流分辨率≤</w:t>
                  </w:r>
                  <w:r>
                    <w:rPr>
                      <w:bCs/>
                      <w:szCs w:val="21"/>
                    </w:rPr>
                    <w:t>电流范围的0.004%</w:t>
                  </w:r>
                  <w:r>
                    <w:rPr>
                      <w:rFonts w:hint="eastAsia"/>
                      <w:bCs/>
                      <w:szCs w:val="21"/>
                    </w:rPr>
                    <w:t>，</w:t>
                  </w:r>
                  <w:r>
                    <w:rPr>
                      <w:bCs/>
                      <w:szCs w:val="21"/>
                    </w:rPr>
                    <w:t>精度≤10 pA±满量程的0.1%；</w:t>
                  </w:r>
                </w:p>
                <w:p w14:paraId="3126EB9B">
                  <w:pPr>
                    <w:numPr>
                      <w:ilvl w:val="0"/>
                      <w:numId w:val="1"/>
                    </w:numPr>
                    <w:tabs>
                      <w:tab w:val="left" w:pos="6915"/>
                    </w:tabs>
                    <w:spacing w:line="288" w:lineRule="auto"/>
                    <w:ind w:left="357" w:hanging="357"/>
                    <w:jc w:val="left"/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</w:rPr>
                    <w:t>施加电位分辨率≤电位范围的0.008%</w:t>
                  </w:r>
                  <w:r>
                    <w:rPr>
                      <w:rFonts w:hint="eastAsia"/>
                      <w:bCs/>
                      <w:szCs w:val="21"/>
                    </w:rPr>
                    <w:t>，</w:t>
                  </w:r>
                  <w:r>
                    <w:rPr>
                      <w:bCs/>
                      <w:szCs w:val="21"/>
                    </w:rPr>
                    <w:t>精度≤1 mV±满量程的 0.1%；</w:t>
                  </w:r>
                </w:p>
                <w:p w14:paraId="3D2965A9">
                  <w:pPr>
                    <w:numPr>
                      <w:ilvl w:val="0"/>
                      <w:numId w:val="1"/>
                    </w:numPr>
                    <w:tabs>
                      <w:tab w:val="left" w:pos="6915"/>
                    </w:tabs>
                    <w:spacing w:line="288" w:lineRule="auto"/>
                    <w:ind w:left="357" w:hanging="357"/>
                    <w:jc w:val="left"/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</w:rPr>
                    <w:t>支持第二工作电极（双恒模式）；</w:t>
                  </w:r>
                </w:p>
                <w:p w14:paraId="782DE1C1">
                  <w:pPr>
                    <w:numPr>
                      <w:ilvl w:val="0"/>
                      <w:numId w:val="1"/>
                    </w:numPr>
                    <w:tabs>
                      <w:tab w:val="left" w:pos="6915"/>
                    </w:tabs>
                    <w:spacing w:line="288" w:lineRule="auto"/>
                    <w:ind w:left="357" w:hanging="357"/>
                    <w:jc w:val="left"/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</w:rPr>
                    <w:t>支持离线测试:无需软件监控，实验自动运行，数据存储设备内部；支持测试程序自定义</w:t>
                  </w:r>
                  <w:r>
                    <w:rPr>
                      <w:rFonts w:hint="eastAsia"/>
                      <w:bCs/>
                      <w:szCs w:val="21"/>
                    </w:rPr>
                    <w:t>，包含主动降噪功能（硬件），以及背底噪音测量软件</w:t>
                  </w:r>
                  <w:r>
                    <w:rPr>
                      <w:bCs/>
                      <w:szCs w:val="21"/>
                    </w:rPr>
                    <w:t>；</w:t>
                  </w:r>
                </w:p>
                <w:p w14:paraId="719212BD">
                  <w:pPr>
                    <w:numPr>
                      <w:ilvl w:val="0"/>
                      <w:numId w:val="1"/>
                    </w:numPr>
                    <w:tabs>
                      <w:tab w:val="left" w:pos="6915"/>
                    </w:tabs>
                    <w:spacing w:line="288" w:lineRule="auto"/>
                    <w:ind w:left="357" w:hanging="357"/>
                    <w:jc w:val="left"/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</w:rPr>
                    <w:t>通讯方式：USB与以太网双模式；支持拓展接口</w:t>
                  </w:r>
                  <w:r>
                    <w:rPr>
                      <w:rFonts w:hint="eastAsia"/>
                      <w:bCs/>
                      <w:szCs w:val="21"/>
                      <w:lang w:eastAsia="zh-CN"/>
                    </w:rPr>
                    <w:t>。</w:t>
                  </w:r>
                  <w:bookmarkStart w:id="0" w:name="_GoBack"/>
                  <w:bookmarkEnd w:id="0"/>
                </w:p>
              </w:tc>
              <w:tc>
                <w:tcPr>
                  <w:tcW w:w="710" w:type="pct"/>
                  <w:vAlign w:val="center"/>
                </w:tcPr>
                <w:p w14:paraId="0BE5C5DD">
                  <w:pPr>
                    <w:tabs>
                      <w:tab w:val="left" w:pos="6915"/>
                    </w:tabs>
                    <w:spacing w:line="288" w:lineRule="auto"/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1套</w:t>
                  </w:r>
                </w:p>
              </w:tc>
            </w:tr>
          </w:tbl>
          <w:p w14:paraId="395E48F2">
            <w:pPr>
              <w:pStyle w:val="11"/>
              <w:numPr>
                <w:numId w:val="0"/>
              </w:numPr>
              <w:tabs>
                <w:tab w:val="left" w:pos="6915"/>
                <w:tab w:val="clear" w:pos="1428"/>
              </w:tabs>
              <w:rPr>
                <w:bCs/>
                <w:sz w:val="24"/>
              </w:rPr>
            </w:pPr>
          </w:p>
        </w:tc>
        <w:tc>
          <w:tcPr>
            <w:tcW w:w="1464" w:type="dxa"/>
            <w:vAlign w:val="center"/>
          </w:tcPr>
          <w:p w14:paraId="205FF5AB">
            <w:pPr>
              <w:spacing w:line="240" w:lineRule="atLeast"/>
              <w:jc w:val="center"/>
            </w:pPr>
          </w:p>
        </w:tc>
        <w:tc>
          <w:tcPr>
            <w:tcW w:w="1023" w:type="dxa"/>
            <w:vAlign w:val="center"/>
          </w:tcPr>
          <w:p w14:paraId="1C60665B">
            <w:pPr>
              <w:spacing w:line="240" w:lineRule="atLeast"/>
              <w:jc w:val="center"/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2" w:hRule="atLeast"/>
        </w:trPr>
        <w:tc>
          <w:tcPr>
            <w:tcW w:w="725" w:type="dxa"/>
            <w:vAlign w:val="center"/>
          </w:tcPr>
          <w:p w14:paraId="21D5CC9B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7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D022F6">
            <w:pPr>
              <w:tabs>
                <w:tab w:val="left" w:pos="6915"/>
              </w:tabs>
              <w:spacing w:line="288" w:lineRule="auto"/>
              <w:jc w:val="left"/>
              <w:rPr>
                <w:bCs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</w:t>
            </w:r>
            <w:r>
              <w:rPr>
                <w:b/>
                <w:szCs w:val="21"/>
              </w:rPr>
              <w:t>货期</w:t>
            </w:r>
            <w:r>
              <w:rPr>
                <w:rFonts w:hint="eastAsia"/>
                <w:b/>
                <w:szCs w:val="21"/>
              </w:rPr>
              <w:t>：</w:t>
            </w:r>
            <w:r>
              <w:rPr>
                <w:rFonts w:hint="eastAsia"/>
                <w:szCs w:val="21"/>
              </w:rPr>
              <w:t>合同签订后</w:t>
            </w:r>
            <w:r>
              <w:rPr>
                <w:bCs/>
                <w:szCs w:val="21"/>
              </w:rPr>
              <w:t>6</w:t>
            </w:r>
            <w:r>
              <w:rPr>
                <w:rFonts w:hint="eastAsia"/>
                <w:bCs/>
                <w:szCs w:val="21"/>
              </w:rPr>
              <w:t>个月内交货。</w:t>
            </w:r>
          </w:p>
          <w:p w14:paraId="17DA05AC">
            <w:pPr>
              <w:tabs>
                <w:tab w:val="left" w:pos="6915"/>
              </w:tabs>
              <w:spacing w:line="288" w:lineRule="auto"/>
              <w:jc w:val="left"/>
              <w:rPr>
                <w:bCs/>
                <w:szCs w:val="21"/>
              </w:rPr>
            </w:pPr>
            <w:r>
              <w:rPr>
                <w:b/>
                <w:szCs w:val="21"/>
              </w:rPr>
              <w:t>交付进度</w:t>
            </w:r>
            <w:r>
              <w:rPr>
                <w:rFonts w:hint="eastAsia"/>
                <w:b/>
                <w:szCs w:val="21"/>
              </w:rPr>
              <w:t>：</w:t>
            </w:r>
            <w:r>
              <w:rPr>
                <w:rFonts w:hint="eastAsia"/>
                <w:bCs/>
                <w:szCs w:val="21"/>
              </w:rPr>
              <w:t>一次性交付。</w:t>
            </w:r>
          </w:p>
          <w:p w14:paraId="221843D8">
            <w:pPr>
              <w:tabs>
                <w:tab w:val="left" w:pos="6915"/>
              </w:tabs>
              <w:spacing w:line="288" w:lineRule="auto"/>
              <w:jc w:val="left"/>
              <w:rPr>
                <w:color w:val="FF0000"/>
                <w:szCs w:val="21"/>
              </w:rPr>
            </w:pPr>
            <w:r>
              <w:rPr>
                <w:b/>
                <w:szCs w:val="21"/>
              </w:rPr>
              <w:t>付款方式</w:t>
            </w:r>
            <w:r>
              <w:rPr>
                <w:rFonts w:hint="eastAsia"/>
                <w:szCs w:val="21"/>
              </w:rPr>
              <w:t>：30%电汇预付，60%见发运单据电汇支付，10%电汇验收合格后支付。</w:t>
            </w:r>
          </w:p>
          <w:p w14:paraId="17EF7D54">
            <w:pPr>
              <w:tabs>
                <w:tab w:val="left" w:pos="6915"/>
              </w:tabs>
              <w:spacing w:line="288" w:lineRule="auto"/>
              <w:jc w:val="lef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验收指标及验收要求：</w:t>
            </w:r>
            <w:r>
              <w:rPr>
                <w:rFonts w:hint="eastAsia"/>
                <w:szCs w:val="21"/>
              </w:rPr>
              <w:t>以厂家的出厂测试报告或第三方检测报告为准。</w:t>
            </w:r>
          </w:p>
          <w:p w14:paraId="191923E4">
            <w:pPr>
              <w:pStyle w:val="11"/>
              <w:numPr>
                <w:numId w:val="0"/>
              </w:numPr>
              <w:tabs>
                <w:tab w:val="left" w:pos="6915"/>
                <w:tab w:val="clear" w:pos="1428"/>
              </w:tabs>
              <w:ind w:leftChars="0"/>
              <w:rPr>
                <w:rFonts w:hint="eastAsia" w:ascii="宋体" w:hAnsi="宋体"/>
                <w:szCs w:val="21"/>
              </w:rPr>
            </w:pPr>
            <w:r>
              <w:rPr>
                <w:rFonts w:hint="eastAsia"/>
                <w:b/>
                <w:szCs w:val="21"/>
              </w:rPr>
              <w:t>保修</w:t>
            </w:r>
            <w:r>
              <w:rPr>
                <w:b/>
                <w:szCs w:val="21"/>
              </w:rPr>
              <w:t>及售后服务</w:t>
            </w:r>
            <w:r>
              <w:rPr>
                <w:rFonts w:hint="eastAsia"/>
                <w:b/>
                <w:szCs w:val="21"/>
              </w:rPr>
              <w:t>：</w:t>
            </w:r>
            <w:r>
              <w:rPr>
                <w:rFonts w:hint="eastAsia"/>
                <w:bCs/>
                <w:szCs w:val="21"/>
              </w:rPr>
              <w:t>自验收之日起质保</w:t>
            </w:r>
            <w:r>
              <w:rPr>
                <w:bCs/>
                <w:szCs w:val="21"/>
              </w:rPr>
              <w:t>1</w:t>
            </w:r>
            <w:r>
              <w:rPr>
                <w:rFonts w:hint="eastAsia"/>
                <w:bCs/>
                <w:szCs w:val="21"/>
              </w:rPr>
              <w:t>年以上。质保期内发生质量问题的，乙方应自接到甲方异议之日起3个工作日响应并提出有效解决方案，所产生的费用乙方承担。乙方提供必要的技术支持，确保甲方能够及时有效的使用设备。</w:t>
            </w:r>
          </w:p>
        </w:tc>
        <w:tc>
          <w:tcPr>
            <w:tcW w:w="1464" w:type="dxa"/>
            <w:vAlign w:val="center"/>
          </w:tcPr>
          <w:p w14:paraId="324B1D27">
            <w:pPr>
              <w:spacing w:line="240" w:lineRule="atLeast"/>
              <w:jc w:val="center"/>
            </w:pPr>
          </w:p>
        </w:tc>
        <w:tc>
          <w:tcPr>
            <w:tcW w:w="1023" w:type="dxa"/>
            <w:vAlign w:val="center"/>
          </w:tcPr>
          <w:p w14:paraId="06AA2CA0">
            <w:pPr>
              <w:spacing w:line="240" w:lineRule="atLeast"/>
              <w:jc w:val="center"/>
            </w:pPr>
          </w:p>
        </w:tc>
      </w:tr>
    </w:tbl>
    <w:p w14:paraId="0DED7F3B">
      <w:pPr>
        <w:ind w:right="840" w:firstLine="5040" w:firstLineChars="2100"/>
        <w:rPr>
          <w:sz w:val="24"/>
        </w:rPr>
      </w:pPr>
    </w:p>
    <w:p w14:paraId="6B36AD4F">
      <w:pPr>
        <w:ind w:right="840" w:firstLine="5040" w:firstLineChars="210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日期</w:t>
      </w:r>
      <w:r>
        <w:rPr>
          <w:rFonts w:hint="eastAsia"/>
          <w:sz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8360B8D"/>
    <w:multiLevelType w:val="multilevel"/>
    <w:tmpl w:val="18360B8D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437"/>
    <w:rsid w:val="000110C4"/>
    <w:rsid w:val="00015CB8"/>
    <w:rsid w:val="00020783"/>
    <w:rsid w:val="00050922"/>
    <w:rsid w:val="00086882"/>
    <w:rsid w:val="00090223"/>
    <w:rsid w:val="00091C8D"/>
    <w:rsid w:val="000E54CE"/>
    <w:rsid w:val="00102C13"/>
    <w:rsid w:val="00123779"/>
    <w:rsid w:val="001501D1"/>
    <w:rsid w:val="001548E0"/>
    <w:rsid w:val="00180627"/>
    <w:rsid w:val="001B219D"/>
    <w:rsid w:val="001D3367"/>
    <w:rsid w:val="002026B2"/>
    <w:rsid w:val="002212AC"/>
    <w:rsid w:val="00261EE1"/>
    <w:rsid w:val="00267E42"/>
    <w:rsid w:val="002D1729"/>
    <w:rsid w:val="002E518A"/>
    <w:rsid w:val="003009AA"/>
    <w:rsid w:val="00363C73"/>
    <w:rsid w:val="003923FC"/>
    <w:rsid w:val="003C2330"/>
    <w:rsid w:val="003C7C5A"/>
    <w:rsid w:val="004626C3"/>
    <w:rsid w:val="004973C3"/>
    <w:rsid w:val="004B0D2F"/>
    <w:rsid w:val="00516FB3"/>
    <w:rsid w:val="00547A75"/>
    <w:rsid w:val="00584F75"/>
    <w:rsid w:val="005C4758"/>
    <w:rsid w:val="005E2C0C"/>
    <w:rsid w:val="005F7E7B"/>
    <w:rsid w:val="00630F8F"/>
    <w:rsid w:val="00642CDA"/>
    <w:rsid w:val="00670B3D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63EDD"/>
    <w:rsid w:val="007B2AE3"/>
    <w:rsid w:val="00811B08"/>
    <w:rsid w:val="00825420"/>
    <w:rsid w:val="00832C3E"/>
    <w:rsid w:val="00841F33"/>
    <w:rsid w:val="00872767"/>
    <w:rsid w:val="00877DA3"/>
    <w:rsid w:val="008A717C"/>
    <w:rsid w:val="008D62B6"/>
    <w:rsid w:val="008E3DB8"/>
    <w:rsid w:val="008F0FFC"/>
    <w:rsid w:val="008F5C2B"/>
    <w:rsid w:val="009149BA"/>
    <w:rsid w:val="00961437"/>
    <w:rsid w:val="00995429"/>
    <w:rsid w:val="00996AC3"/>
    <w:rsid w:val="009B6E26"/>
    <w:rsid w:val="009C3224"/>
    <w:rsid w:val="009C4C31"/>
    <w:rsid w:val="009E2F9A"/>
    <w:rsid w:val="009F5C3A"/>
    <w:rsid w:val="00A01094"/>
    <w:rsid w:val="00A11447"/>
    <w:rsid w:val="00A20D98"/>
    <w:rsid w:val="00A27625"/>
    <w:rsid w:val="00A44E8A"/>
    <w:rsid w:val="00A533CA"/>
    <w:rsid w:val="00A66F06"/>
    <w:rsid w:val="00A7013F"/>
    <w:rsid w:val="00A8112C"/>
    <w:rsid w:val="00AC1D37"/>
    <w:rsid w:val="00AC67EF"/>
    <w:rsid w:val="00AF7A8B"/>
    <w:rsid w:val="00B0175F"/>
    <w:rsid w:val="00B04741"/>
    <w:rsid w:val="00B311D0"/>
    <w:rsid w:val="00B64004"/>
    <w:rsid w:val="00B7785A"/>
    <w:rsid w:val="00B90DC2"/>
    <w:rsid w:val="00B971DE"/>
    <w:rsid w:val="00BA1B3F"/>
    <w:rsid w:val="00BC2767"/>
    <w:rsid w:val="00BD701B"/>
    <w:rsid w:val="00C102A3"/>
    <w:rsid w:val="00C1298E"/>
    <w:rsid w:val="00C26D9F"/>
    <w:rsid w:val="00C420C3"/>
    <w:rsid w:val="00C442AD"/>
    <w:rsid w:val="00CA3288"/>
    <w:rsid w:val="00CA3E3B"/>
    <w:rsid w:val="00D011DC"/>
    <w:rsid w:val="00D04097"/>
    <w:rsid w:val="00D16AC0"/>
    <w:rsid w:val="00D24D09"/>
    <w:rsid w:val="00D72E1E"/>
    <w:rsid w:val="00D81354"/>
    <w:rsid w:val="00DA7BF9"/>
    <w:rsid w:val="00E00131"/>
    <w:rsid w:val="00E0215E"/>
    <w:rsid w:val="00E147A9"/>
    <w:rsid w:val="00E5012E"/>
    <w:rsid w:val="00E762FD"/>
    <w:rsid w:val="00E930C8"/>
    <w:rsid w:val="00EA412A"/>
    <w:rsid w:val="00EA6BA9"/>
    <w:rsid w:val="00EB6FB2"/>
    <w:rsid w:val="00EC5A9D"/>
    <w:rsid w:val="00F02F94"/>
    <w:rsid w:val="00F26580"/>
    <w:rsid w:val="00F347F0"/>
    <w:rsid w:val="00F34AE9"/>
    <w:rsid w:val="00F357B0"/>
    <w:rsid w:val="00F43549"/>
    <w:rsid w:val="00F50B62"/>
    <w:rsid w:val="00F70F95"/>
    <w:rsid w:val="00F82AA6"/>
    <w:rsid w:val="00F855E3"/>
    <w:rsid w:val="00FA453C"/>
    <w:rsid w:val="00FC7C08"/>
    <w:rsid w:val="00FE15FA"/>
    <w:rsid w:val="00FF78CF"/>
    <w:rsid w:val="0279069A"/>
    <w:rsid w:val="2D070EC5"/>
    <w:rsid w:val="46BF1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spacing w:beforeAutospacing="1" w:afterAutospacing="1" w:line="278" w:lineRule="auto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table" w:styleId="6">
    <w:name w:val="Table Grid"/>
    <w:basedOn w:val="5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style01"/>
    <w:basedOn w:val="7"/>
    <w:qFormat/>
    <w:uiPriority w:val="0"/>
    <w:rPr>
      <w:rFonts w:hint="default" w:ascii="MicrosoftYaHei" w:hAnsi="MicrosoftYaHei"/>
      <w:color w:val="000000"/>
      <w:sz w:val="22"/>
      <w:szCs w:val="22"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99"/>
    <w:pPr>
      <w:tabs>
        <w:tab w:val="left" w:pos="1428"/>
      </w:tabs>
      <w:ind w:firstLine="420" w:firstLineChars="200"/>
      <w:jc w:val="left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603</Words>
  <Characters>742</Characters>
  <Lines>5</Lines>
  <Paragraphs>1</Paragraphs>
  <TotalTime>1</TotalTime>
  <ScaleCrop>false</ScaleCrop>
  <LinksUpToDate>false</LinksUpToDate>
  <CharactersWithSpaces>772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2024-07-15T01:36:00Z</dcterms:created>
  <dc:creator>China</dc:creator>
  <cp:lastModifiedBy>Administrator</cp:lastModifiedBy>
  <dcterms:modified xsi:type="dcterms:W3CDTF">2025-11-26T07:52:32Z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eyJoZGlkIjoiMzRjNjk2NGVmMGE4ZDM3YzgzYTU2OGVmMWMzOTE4YmQifQ==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