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CSR服务器机房精密空调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CAA7F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数量：3台。</w:t>
            </w:r>
          </w:p>
          <w:p w14:paraId="3899DC0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1）单台制冷量40.4kW，单台风量12000m³/h，单台电功率21kW；送风方式为上送风；</w:t>
            </w:r>
          </w:p>
          <w:p w14:paraId="019A248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2）符合IEC标准，输入电压允许波动范围：380VAC（－10％～＋15％），工作频率：50Hz±2Hz；</w:t>
            </w:r>
          </w:p>
          <w:p w14:paraId="1178F750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3）适用环境条件：室内：0℃～40℃，室外：-15℃～45℃，环境湿度：≤95%RH；</w:t>
            </w:r>
          </w:p>
          <w:p w14:paraId="68B4737B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4）精密空调具有高可靠性，平均无故障时间MTBF≥10万小时；</w:t>
            </w:r>
          </w:p>
          <w:p w14:paraId="6DBF1C98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5）精密空调应采用独立的EC风机；</w:t>
            </w:r>
          </w:p>
          <w:p w14:paraId="57B8F2B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6）具备除湿功能，减少空气过冷及热补偿需求；应采用高效加湿器，加湿量≥4.5kg/h；</w:t>
            </w:r>
          </w:p>
          <w:p w14:paraId="6D456938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7）精密空调应具有先进的微处理控制器，采用PID调节技术；</w:t>
            </w:r>
          </w:p>
          <w:p w14:paraId="1AE26F66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8）具有LCD大屏幕多行中文显示器，显示温湿度曲线，显示各组件的运行状态，具有过压、欠压等报警及故障诊断，自动保护，自动恢复，自动重启动等功能。</w:t>
            </w:r>
          </w:p>
          <w:p w14:paraId="7BD85ED0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2、铜管及制冷剂</w:t>
            </w:r>
          </w:p>
          <w:p w14:paraId="36BA4BB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1）Φ19/22铜管，长度300m；</w:t>
            </w:r>
          </w:p>
          <w:p w14:paraId="23F6C88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2）R410</w:t>
            </w:r>
            <w:r>
              <w:rPr>
                <w:rFonts w:ascii="宋体" w:hAnsi="宋体" w:cs="宋体"/>
                <w:bCs/>
                <w:szCs w:val="21"/>
              </w:rPr>
              <w:t>a</w:t>
            </w:r>
            <w:r>
              <w:rPr>
                <w:rFonts w:hint="eastAsia" w:ascii="宋体" w:hAnsi="宋体" w:cs="宋体"/>
                <w:bCs/>
                <w:szCs w:val="21"/>
              </w:rPr>
              <w:t>制冷剂。</w:t>
            </w:r>
          </w:p>
          <w:p w14:paraId="4D76B25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3、外机设备基础</w:t>
            </w:r>
          </w:p>
          <w:p w14:paraId="5DA567C9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钢筋混凝土基础，7㎡。</w:t>
            </w:r>
          </w:p>
          <w:p w14:paraId="2D8B673B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4、电缆</w:t>
            </w:r>
          </w:p>
          <w:p w14:paraId="58041AC6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YJV-4×16</w:t>
            </w:r>
            <w:r>
              <w:rPr>
                <w:rFonts w:ascii="宋体" w:hAnsi="宋体" w:cs="宋体"/>
                <w:bCs/>
                <w:szCs w:val="21"/>
              </w:rPr>
              <w:t>mm</w:t>
            </w:r>
            <w:r>
              <w:rPr>
                <w:rFonts w:ascii="宋体" w:hAnsi="宋体" w:cs="宋体"/>
                <w:bCs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>+1×10mm</w:t>
            </w:r>
            <w:r>
              <w:rPr>
                <w:rFonts w:hint="eastAsia" w:ascii="宋体" w:hAnsi="宋体" w:cs="宋体"/>
                <w:bCs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>，400m（根据精密空调选型及实际安装条件配置）。</w:t>
            </w:r>
          </w:p>
          <w:p w14:paraId="3083FDB0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5、减振措施</w:t>
            </w:r>
          </w:p>
          <w:p w14:paraId="52A82805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为精密空调室内机及室外机配备弹簧减振器，减振效率95%以上。</w:t>
            </w:r>
          </w:p>
          <w:p w14:paraId="181434E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6、安装及调试</w:t>
            </w:r>
          </w:p>
          <w:p w14:paraId="4BAD4120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1）包含搬运、设备就位、支架焊接制作、桥架安装、调试运行等；</w:t>
            </w:r>
          </w:p>
          <w:p w14:paraId="185E06E8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szCs w:val="21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>）因精密空调安装产生的墙体开洞、给水接入、地漏及排水等其它必要的土建水电气改造也包含在本项目的范围内，供应商须综合考虑报价。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Cs w:val="21"/>
              </w:rPr>
              <w:t>合同签订后30个日历日内。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Cs w:val="21"/>
              </w:rPr>
              <w:t>一次性到货，将货物送至甲方指定地点。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Cs w:val="21"/>
              </w:rPr>
              <w:t>合同签订后</w:t>
            </w:r>
            <w:r>
              <w:rPr>
                <w:rFonts w:ascii="宋体" w:hAnsi="宋体" w:cs="宋体"/>
                <w:bCs/>
                <w:szCs w:val="21"/>
              </w:rPr>
              <w:t>15</w:t>
            </w:r>
            <w:r>
              <w:rPr>
                <w:rFonts w:hint="eastAsia" w:ascii="宋体" w:hAnsi="宋体" w:cs="宋体"/>
                <w:bCs/>
                <w:szCs w:val="21"/>
              </w:rPr>
              <w:t>个工作日内预付合同总金额的30%，验收合格后3</w:t>
            </w:r>
            <w:r>
              <w:rPr>
                <w:rFonts w:ascii="宋体" w:hAnsi="宋体" w:cs="宋体"/>
                <w:bCs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szCs w:val="21"/>
              </w:rPr>
              <w:t>个工作日内付清尾款。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216CB821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设备及材料开箱验收确认</w:t>
            </w:r>
            <w:r>
              <w:rPr>
                <w:rFonts w:ascii="宋体" w:hAnsi="宋体" w:cs="宋体"/>
                <w:bCs/>
                <w:szCs w:val="21"/>
              </w:rPr>
              <w:t>,</w:t>
            </w:r>
            <w:r>
              <w:rPr>
                <w:rFonts w:hint="eastAsia" w:ascii="宋体" w:hAnsi="宋体" w:cs="宋体"/>
                <w:bCs/>
                <w:szCs w:val="21"/>
              </w:rPr>
              <w:t>精密空调机组须提供合格证及C</w:t>
            </w:r>
            <w:r>
              <w:rPr>
                <w:rFonts w:ascii="宋体" w:hAnsi="宋体" w:cs="宋体"/>
                <w:bCs/>
                <w:szCs w:val="21"/>
              </w:rPr>
              <w:t>MA</w:t>
            </w:r>
            <w:r>
              <w:rPr>
                <w:rFonts w:hint="eastAsia" w:ascii="宋体" w:hAnsi="宋体" w:cs="宋体"/>
                <w:bCs/>
                <w:szCs w:val="21"/>
              </w:rPr>
              <w:t>认证的检测报告；</w:t>
            </w:r>
          </w:p>
          <w:p w14:paraId="3364DAC1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CSR</w:t>
            </w:r>
            <w:r>
              <w:rPr>
                <w:rFonts w:hint="eastAsia" w:ascii="宋体" w:hAnsi="宋体" w:cs="宋体"/>
                <w:bCs/>
                <w:szCs w:val="21"/>
              </w:rPr>
              <w:t>服务器机房温湿度指标：温度：</w:t>
            </w:r>
            <w:r>
              <w:rPr>
                <w:rFonts w:ascii="宋体" w:hAnsi="宋体" w:cs="宋体"/>
                <w:bCs/>
                <w:szCs w:val="21"/>
              </w:rPr>
              <w:t>18</w:t>
            </w:r>
            <w:r>
              <w:rPr>
                <w:rFonts w:hint="eastAsia" w:ascii="宋体" w:hAnsi="宋体" w:cs="宋体"/>
                <w:bCs/>
                <w:szCs w:val="21"/>
              </w:rPr>
              <w:t>℃～</w:t>
            </w:r>
            <w:r>
              <w:rPr>
                <w:rFonts w:ascii="宋体" w:hAnsi="宋体" w:cs="宋体"/>
                <w:bCs/>
                <w:szCs w:val="21"/>
              </w:rPr>
              <w:t>27</w:t>
            </w:r>
            <w:r>
              <w:rPr>
                <w:rFonts w:hint="eastAsia" w:ascii="宋体" w:hAnsi="宋体" w:cs="宋体"/>
                <w:bCs/>
                <w:szCs w:val="21"/>
              </w:rPr>
              <w:t>℃，湿度≤</w:t>
            </w:r>
            <w:r>
              <w:rPr>
                <w:rFonts w:ascii="宋体" w:hAnsi="宋体" w:cs="宋体"/>
                <w:bCs/>
                <w:szCs w:val="21"/>
              </w:rPr>
              <w:t>60%RH</w:t>
            </w:r>
            <w:r>
              <w:rPr>
                <w:rFonts w:hint="eastAsia" w:ascii="宋体" w:hAnsi="宋体" w:cs="宋体"/>
                <w:bCs/>
                <w:szCs w:val="21"/>
              </w:rPr>
              <w:t>；温湿度需进行现场测试验收。</w:t>
            </w:r>
          </w:p>
          <w:p w14:paraId="587F3EF7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Cs w:val="21"/>
              </w:rPr>
              <w:t>质保期为</w:t>
            </w:r>
            <w:r>
              <w:rPr>
                <w:rFonts w:hint="eastAsia" w:ascii="宋体" w:hAnsi="宋体" w:cs="宋体"/>
                <w:bCs/>
                <w:szCs w:val="21"/>
                <w:u w:val="single"/>
              </w:rPr>
              <w:t xml:space="preserve"> 24 </w:t>
            </w:r>
            <w:r>
              <w:rPr>
                <w:rFonts w:hint="eastAsia" w:ascii="宋体" w:hAnsi="宋体" w:cs="宋体"/>
                <w:bCs/>
                <w:szCs w:val="21"/>
              </w:rPr>
              <w:t>个月，自验收合格之日起计算。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309BC"/>
    <w:multiLevelType w:val="multilevel"/>
    <w:tmpl w:val="0F6309BC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2F040C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2026-06-17T08:45:26Z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