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030"/>
        <w:gridCol w:w="6162"/>
        <w:gridCol w:w="1303"/>
        <w:gridCol w:w="926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0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陶瓷真空室及真空室保存装置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5"/>
              <w:tblW w:w="593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480"/>
              <w:gridCol w:w="456"/>
            </w:tblGrid>
            <w:tr w14:paraId="0E9886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" w:hRule="atLeast"/>
                <w:jc w:val="center"/>
              </w:trPr>
              <w:tc>
                <w:tcPr>
                  <w:tcW w:w="549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8675805">
                  <w:pPr>
                    <w:rPr>
                      <w:sz w:val="24"/>
                      <w:szCs w:val="24"/>
                    </w:rPr>
                  </w:pPr>
                  <w:bookmarkStart w:id="0" w:name="_GoBack"/>
                  <w:bookmarkEnd w:id="0"/>
                  <w:r>
                    <w:rPr>
                      <w:rFonts w:ascii="宋体" w:hAnsi="宋体"/>
                      <w:sz w:val="24"/>
                      <w:szCs w:val="24"/>
                    </w:rPr>
                    <w:t>设计指标</w:t>
                  </w:r>
                </w:p>
              </w:tc>
              <w:tc>
                <w:tcPr>
                  <w:tcW w:w="43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FA88238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宋体" w:hAnsi="宋体"/>
                      <w:sz w:val="24"/>
                      <w:szCs w:val="24"/>
                    </w:rPr>
                    <w:t>数量</w:t>
                  </w:r>
                </w:p>
              </w:tc>
            </w:tr>
            <w:tr w14:paraId="6B3721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38" w:hRule="atLeast"/>
                <w:jc w:val="center"/>
              </w:trPr>
              <w:tc>
                <w:tcPr>
                  <w:tcW w:w="549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C66BC4F">
                  <w:pPr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rFonts w:ascii="宋体" w:hAnsi="宋体"/>
                      <w:sz w:val="24"/>
                      <w:szCs w:val="24"/>
                    </w:rPr>
                    <w:t>普通陶瓷真空室</w:t>
                  </w:r>
                  <w:r>
                    <w:rPr>
                      <w:sz w:val="24"/>
                      <w:szCs w:val="24"/>
                    </w:rPr>
                    <w:t>K1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和</w:t>
                  </w:r>
                  <w:r>
                    <w:rPr>
                      <w:sz w:val="24"/>
                      <w:szCs w:val="24"/>
                    </w:rPr>
                    <w:t>K3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要求：长度</w:t>
                  </w:r>
                  <w:r>
                    <w:rPr>
                      <w:sz w:val="24"/>
                      <w:szCs w:val="24"/>
                    </w:rPr>
                    <w:t>520 mm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，陶瓷管长度</w:t>
                  </w:r>
                  <w:r>
                    <w:rPr>
                      <w:sz w:val="24"/>
                      <w:szCs w:val="24"/>
                    </w:rPr>
                    <w:t xml:space="preserve"> ≥ 350 mm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，内壁镀钛膜，陶瓷管内径</w:t>
                  </w:r>
                  <w:r>
                    <w:rPr>
                      <w:sz w:val="24"/>
                      <w:szCs w:val="24"/>
                    </w:rPr>
                    <w:t>26 mm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，壁厚</w:t>
                  </w:r>
                  <w:r>
                    <w:rPr>
                      <w:sz w:val="24"/>
                      <w:szCs w:val="24"/>
                    </w:rPr>
                    <w:t>4 mm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；两端使用</w:t>
                  </w:r>
                  <w:r>
                    <w:rPr>
                      <w:sz w:val="24"/>
                      <w:szCs w:val="24"/>
                    </w:rPr>
                    <w:t>CF63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标准不锈钢法兰，一端连接波纹管，一端无波纹管；使用水冷法兰，水管与真空分离设计，漏率小于</w:t>
                  </w:r>
                  <w:r>
                    <w:rPr>
                      <w:sz w:val="24"/>
                      <w:szCs w:val="24"/>
                    </w:rPr>
                    <w:t>1E-11 mbar·L/s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。此项共两台。最终以双方会签图纸为准，设计投产图纸须经甲方审核，双方会签后方可投产。</w:t>
                  </w:r>
                </w:p>
                <w:p w14:paraId="5C52CA1C">
                  <w:pPr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rFonts w:ascii="宋体" w:hAnsi="宋体"/>
                      <w:sz w:val="24"/>
                      <w:szCs w:val="24"/>
                    </w:rPr>
                    <w:t>特殊陶瓷真空室</w:t>
                  </w:r>
                  <w:r>
                    <w:rPr>
                      <w:sz w:val="24"/>
                      <w:szCs w:val="24"/>
                    </w:rPr>
                    <w:t>NLK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要求：安装总长</w:t>
                  </w:r>
                  <w:r>
                    <w:rPr>
                      <w:sz w:val="24"/>
                      <w:szCs w:val="24"/>
                    </w:rPr>
                    <w:t>600 mm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，内部含有吊装铜电极，陶瓷管长度大于</w:t>
                  </w:r>
                  <w:r>
                    <w:rPr>
                      <w:sz w:val="24"/>
                      <w:szCs w:val="24"/>
                    </w:rPr>
                    <w:t>300 mm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，陶瓷管采用三氧化二铝电真空陶瓷材料，含量</w:t>
                  </w:r>
                  <w:r>
                    <w:rPr>
                      <w:sz w:val="24"/>
                      <w:szCs w:val="24"/>
                    </w:rPr>
                    <w:t xml:space="preserve">95%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- </w:t>
                  </w:r>
                  <w:r>
                    <w:rPr>
                      <w:sz w:val="24"/>
                      <w:szCs w:val="24"/>
                    </w:rPr>
                    <w:t>99%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；使用水冷法兰，水管与真空分离设计，漏率小于</w:t>
                  </w:r>
                  <w:r>
                    <w:rPr>
                      <w:sz w:val="24"/>
                      <w:szCs w:val="24"/>
                    </w:rPr>
                    <w:t>1E-11 mbar·L/s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。此项共一台。最终以双方会签图纸为准，设计投产图纸须经甲方审核，双方会签后方可投产。</w:t>
                  </w:r>
                </w:p>
                <w:p w14:paraId="6F2082D7">
                  <w:pPr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rFonts w:ascii="宋体" w:hAnsi="宋体"/>
                      <w:sz w:val="24"/>
                      <w:szCs w:val="24"/>
                    </w:rPr>
                    <w:t>陶瓷真空室保存装置要求：可同时接入四个陶瓷真空室以维持内部真空，四个真空室法兰接口均为</w:t>
                  </w:r>
                  <w:r>
                    <w:rPr>
                      <w:sz w:val="24"/>
                      <w:szCs w:val="24"/>
                    </w:rPr>
                    <w:t>CF63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，另有若干法兰接口，可接入离子泵及真空检测装置等，漏率小于</w:t>
                  </w:r>
                  <w:r>
                    <w:rPr>
                      <w:sz w:val="24"/>
                      <w:szCs w:val="24"/>
                    </w:rPr>
                    <w:t>1E-11 mbar·L/s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。此项另包含</w:t>
                  </w:r>
                  <w:r>
                    <w:rPr>
                      <w:sz w:val="24"/>
                      <w:szCs w:val="24"/>
                    </w:rPr>
                    <w:t>200 L/s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的离子泵一台、保存装置主体的支撑架、四个陶瓷真空室的支撑架。最终以双方会签图纸为准，设计投产图纸须经甲方审核，双方会签后方可投产。</w:t>
                  </w:r>
                </w:p>
              </w:tc>
              <w:tc>
                <w:tcPr>
                  <w:tcW w:w="43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D4856CF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4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台</w:t>
                  </w:r>
                </w:p>
              </w:tc>
            </w:tr>
          </w:tbl>
          <w:p w14:paraId="4C73656C">
            <w:pPr>
              <w:tabs>
                <w:tab w:val="left" w:pos="6915"/>
              </w:tabs>
              <w:rPr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99428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交货期：合同签订后2个月内图纸会签，图纸会签后6个月内交货。</w:t>
            </w:r>
          </w:p>
          <w:p w14:paraId="038590FC">
            <w:pPr>
              <w:tabs>
                <w:tab w:val="left" w:pos="6915"/>
              </w:tabs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交付进度：供货方于合同生效之日起6个月内将货物送达至采购方指定地点。</w:t>
            </w:r>
          </w:p>
          <w:p w14:paraId="3617CDD8">
            <w:pPr>
              <w:tabs>
                <w:tab w:val="left" w:pos="6915"/>
              </w:tabs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付款方式：甲方预付合同总金额的40%，货到甲方验收合格后支付合同总金额的60%。</w:t>
            </w:r>
          </w:p>
          <w:p w14:paraId="4A409715">
            <w:pPr>
              <w:tabs>
                <w:tab w:val="left" w:pos="6915"/>
              </w:tabs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验收要求：根据双方审核通过的会签图纸进行验收。</w:t>
            </w:r>
          </w:p>
          <w:p w14:paraId="2AF0E2A3">
            <w:pPr>
              <w:tabs>
                <w:tab w:val="left" w:pos="6915"/>
              </w:tabs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阶段性检查要求：在设备部件加工完成后并在整体组装前进行阶段性检查。</w:t>
            </w:r>
          </w:p>
          <w:p w14:paraId="717A1ADC">
            <w:pPr>
              <w:pStyle w:val="11"/>
              <w:tabs>
                <w:tab w:val="left" w:pos="6915"/>
                <w:tab w:val="clear" w:pos="1428"/>
              </w:tabs>
              <w:ind w:firstLine="0" w:firstLine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保修及售后服务：自验收之日起质保一年，质保期内发生质量问题的，乙方应自接到甲方异议之日起3个工作日响应并提出有效解决方案，所产生的费用乙方承担。乙方提供必要的技术支持，确保甲方能够及时有效的使用设备。</w:t>
            </w:r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68441B"/>
    <w:multiLevelType w:val="multilevel"/>
    <w:tmpl w:val="7D68441B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72A27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668BC"/>
    <w:rsid w:val="00584F75"/>
    <w:rsid w:val="005C4758"/>
    <w:rsid w:val="005E2C0C"/>
    <w:rsid w:val="005F7E7B"/>
    <w:rsid w:val="00630F8F"/>
    <w:rsid w:val="00642AF5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CE0BDA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0C195661"/>
    <w:rsid w:val="128E50EE"/>
    <w:rsid w:val="2D070EC5"/>
    <w:rsid w:val="468B21C7"/>
    <w:rsid w:val="46BF17AE"/>
    <w:rsid w:val="48E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769</Words>
  <Characters>839</Characters>
  <Lines>6</Lines>
  <Paragraphs>1</Paragraphs>
  <TotalTime>1</TotalTime>
  <ScaleCrop>false</ScaleCrop>
  <LinksUpToDate>false</LinksUpToDate>
  <CharactersWithSpaces>882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2025-12-29T07:21:28Z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