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bookmarkStart w:id="0" w:name="_GoBack"/>
      <w:r>
        <w:rPr>
          <w:rFonts w:hint="eastAsia"/>
          <w:sz w:val="36"/>
        </w:rPr>
        <w:t>技术指标供应商确认表</w:t>
      </w:r>
      <w:bookmarkEnd w:id="0"/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1"/>
        <w:gridCol w:w="5428"/>
        <w:gridCol w:w="1227"/>
        <w:gridCol w:w="1000"/>
      </w:tblGrid>
      <w:tr w14:paraId="05EE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2065B20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21" w:type="dxa"/>
            <w:vAlign w:val="center"/>
          </w:tcPr>
          <w:p w14:paraId="1C771C0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428" w:type="dxa"/>
            <w:vAlign w:val="center"/>
          </w:tcPr>
          <w:p w14:paraId="63C1663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27" w:type="dxa"/>
            <w:vAlign w:val="center"/>
          </w:tcPr>
          <w:p w14:paraId="4FD9FBB8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149CE43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000" w:type="dxa"/>
            <w:vAlign w:val="center"/>
          </w:tcPr>
          <w:p w14:paraId="2BBF244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7F3B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705" w:type="dxa"/>
            <w:vAlign w:val="center"/>
          </w:tcPr>
          <w:p w14:paraId="3F375B0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1E0A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前级高压电源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1台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5428" w:type="dxa"/>
            <w:vAlign w:val="center"/>
          </w:tcPr>
          <w:p w14:paraId="33A7375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前级高压电源为AMD励磁脉冲源储能电容充电。具体指标要求：</w:t>
            </w:r>
          </w:p>
          <w:p w14:paraId="64D86D6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输出电压：15 kV，功率10 kJ/s，</w:t>
            </w:r>
          </w:p>
          <w:p w14:paraId="639CE82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重复频率：50 Hz，重复稳定度≤0.4 %。</w:t>
            </w:r>
          </w:p>
        </w:tc>
        <w:tc>
          <w:tcPr>
            <w:tcW w:w="1227" w:type="dxa"/>
            <w:vAlign w:val="center"/>
          </w:tcPr>
          <w:p w14:paraId="11BF7B33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5301A3E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E591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7" w:hRule="atLeast"/>
        </w:trPr>
        <w:tc>
          <w:tcPr>
            <w:tcW w:w="705" w:type="dxa"/>
            <w:vAlign w:val="center"/>
          </w:tcPr>
          <w:p w14:paraId="4DF2FEE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73B1D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1FD6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合同签订后3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个月内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5498A9D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供货方于合同生效之日起3个月内将货物送达至采购方指定地点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07371580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</w:p>
          <w:p w14:paraId="4134A45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关境内提供的货物：</w:t>
            </w:r>
          </w:p>
          <w:p w14:paraId="669E836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（1）合同签订后，支付合同总价的50%；</w:t>
            </w:r>
          </w:p>
          <w:p w14:paraId="37F6870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（2）货到采购方指定地点并且经采购方验收合格后，支付合同总价的50%。</w:t>
            </w:r>
          </w:p>
          <w:p w14:paraId="633EF7D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关境外提供的货物：</w:t>
            </w:r>
          </w:p>
          <w:p w14:paraId="0B4983B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（1）供应商须与采购方、采购方指定的外贸代理公司签署采购方、供应商、外贸代理公司三方合同。</w:t>
            </w:r>
          </w:p>
          <w:p w14:paraId="6B76C2D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（2）由外贸公司开立以供应商为受益人的合同金额90％的不可撤销信用证，供应商凭货物发运单据议付该笔款项。</w:t>
            </w:r>
          </w:p>
          <w:p w14:paraId="38F2EAA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（3）货到采购方指定地点安装调试验收合格后，供应商提供用户签字并盖章的验收合格报告，外贸公司支付合同总价的10%给供应商。</w:t>
            </w:r>
          </w:p>
          <w:p w14:paraId="79D5AED0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（4）采购方与外贸代理公司的付款方式由双方签署的外贸代理合同约定。</w:t>
            </w:r>
          </w:p>
          <w:p w14:paraId="33BBB0C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厂家按照技术参数要求进行出厂测试并提供测试报告，验收指标如“规格和技术参数”中的描述所示。验收期间，货物数量、规格型号等与“规格和技术参数”中的描述的技术参数要求不符，或存在质量问题的，供货方应在接到采购方异议之日起 3日内更换合格产品重新交付至采购方指定地点，并承担因此而发生的相关费用。</w:t>
            </w:r>
          </w:p>
          <w:p w14:paraId="6B5CF00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产品质保期为12个月，时间自验收合格之日起计算。质保期内货物出现质量问题的，供货方应自接到采购方异议之日起 3日内以更换等方式解决，因此所发生的费用由供货方承担。供货方免费提供必要的技术咨询以确保采购方能安全、有效的使用标的货物。</w:t>
            </w:r>
          </w:p>
        </w:tc>
        <w:tc>
          <w:tcPr>
            <w:tcW w:w="1227" w:type="dxa"/>
            <w:vAlign w:val="center"/>
          </w:tcPr>
          <w:p w14:paraId="78474032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0D001AB6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1425069F">
      <w:pPr>
        <w:ind w:right="8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CAF3A71"/>
    <w:p w14:paraId="5E7617FD"/>
    <w:p w14:paraId="77E90963"/>
    <w:p w14:paraId="768DB5CB"/>
    <w:p w14:paraId="56FBBF2F"/>
    <w:p w14:paraId="6D69E7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90EAD"/>
    <w:rsid w:val="3A990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2026-03-24T07:43:00Z</dcterms:created>
  <dc:creator>DELL</dc:creator>
  <cp:lastModifiedBy>DELL</cp:lastModifiedBy>
  <dcterms:modified xsi:type="dcterms:W3CDTF">2026-03-24T07:46:24Z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8C31512053DF491DB1EC59698B3CA162_11</vt:lpwstr>
  </property>
  <property fmtid="{D5CDD505-2E9C-101B-9397-08002B2CF9AE}" pid="4" name="KSOTemplateDocerSaveRecord">
    <vt:lpwstr>eyJoZGlkIjoiN2RmNGQ2MDc0ZGFiNmIyNjNmMmJiNzcxMzg1OWQzY2YifQ==</vt:lpwstr>
  </property>
</Properties>
</file>