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F42D7">
      <w:pPr>
        <w:jc w:val="center"/>
        <w:rPr>
          <w:sz w:val="32"/>
          <w:szCs w:val="32"/>
        </w:rPr>
      </w:pPr>
      <w:r>
        <w:rPr>
          <w:sz w:val="32"/>
          <w:szCs w:val="32"/>
        </w:rPr>
        <w:t>中国科学技术大学国家同步辐射实验室</w:t>
      </w:r>
    </w:p>
    <w:p w14:paraId="71ADF21F">
      <w:pPr>
        <w:jc w:val="center"/>
        <w:rPr>
          <w:sz w:val="32"/>
          <w:szCs w:val="32"/>
        </w:rPr>
      </w:pPr>
      <w:bookmarkStart w:id="0" w:name="_GoBack"/>
      <w:r>
        <w:rPr>
          <w:rFonts w:hint="eastAsia"/>
          <w:sz w:val="32"/>
          <w:szCs w:val="32"/>
        </w:rPr>
        <w:t>技术指标供应商确认表</w:t>
      </w:r>
    </w:p>
    <w:bookmarkEnd w:id="0"/>
    <w:p w14:paraId="50584A57">
      <w:pPr>
        <w:rPr>
          <w:sz w:val="24"/>
          <w:szCs w:val="24"/>
        </w:rPr>
      </w:pPr>
    </w:p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20C66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3E29496F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467D466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0B99A1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78A9372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529022B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744AE6C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6C24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9" w:hRule="atLeast"/>
        </w:trPr>
        <w:tc>
          <w:tcPr>
            <w:tcW w:w="705" w:type="dxa"/>
            <w:vAlign w:val="center"/>
          </w:tcPr>
          <w:p w14:paraId="6B5478E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7432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</w:rPr>
              <w:t>合肥光源实验站</w:t>
            </w:r>
            <w:r>
              <w:rPr>
                <w:kern w:val="0"/>
                <w:sz w:val="24"/>
              </w:rPr>
              <w:t>智能化数据采集和</w:t>
            </w:r>
            <w:r>
              <w:rPr>
                <w:rFonts w:hint="eastAsia"/>
                <w:kern w:val="0"/>
                <w:sz w:val="24"/>
              </w:rPr>
              <w:t>管理</w:t>
            </w:r>
            <w:r>
              <w:rPr>
                <w:kern w:val="0"/>
                <w:sz w:val="24"/>
              </w:rPr>
              <w:t>系统</w:t>
            </w: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</w:rPr>
              <w:br w:type="textWrapping"/>
            </w:r>
          </w:p>
        </w:tc>
        <w:tc>
          <w:tcPr>
            <w:tcW w:w="5322" w:type="dxa"/>
            <w:vAlign w:val="center"/>
          </w:tcPr>
          <w:p w14:paraId="3FD724E3">
            <w:pPr>
              <w:spacing w:line="320" w:lineRule="exact"/>
              <w:rPr>
                <w:rFonts w:ascii="宋体" w:hAnsi="宋体" w:cs="宋体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  <w:t>. 文献/成果管理：支持手动等多种方式创建论文；支持通过 ResearcherID / ORCID / PDF / DOI 导入文献成果；支持本地部署，浏览器多端跨平台访问。</w:t>
            </w:r>
          </w:p>
          <w:p w14:paraId="006E34E3">
            <w:pPr>
              <w:spacing w:line="320" w:lineRule="exact"/>
              <w:rPr>
                <w:rFonts w:ascii="宋体" w:hAnsi="宋体" w:cs="宋体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  <w:t>2. 数字签名：支持对记录进行 RSA 非对称加密数字签名定稿，系统自动生成可信时间戳，为实验记录提供不可篡改的凭证；支持多人多份签名，私钥加密存储，公钥明文可随时验证。</w:t>
            </w:r>
          </w:p>
          <w:p w14:paraId="18D9C0BF">
            <w:pPr>
              <w:spacing w:line="320" w:lineRule="exact"/>
              <w:rPr>
                <w:rFonts w:ascii="宋体" w:hAnsi="宋体" w:cs="宋体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  <w:t>3. 实验记录可追溯：支持实验记录版本化管理，保证内容修改的可追溯。</w:t>
            </w:r>
          </w:p>
          <w:p w14:paraId="47DAE47A">
            <w:pPr>
              <w:spacing w:line="320" w:lineRule="exact"/>
              <w:rPr>
                <w:rFonts w:ascii="宋体" w:hAnsi="宋体" w:cs="宋体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  <w:t>4. 系统级扩展集成能力：支持新增数据模块、更新数据和扩展插件；具备数据原子化关联能力，实现数据模块、实验记录、数据合集、论文成果、课题和项目的原子级相互关联。</w:t>
            </w:r>
          </w:p>
          <w:p w14:paraId="4527A269">
            <w:pPr>
              <w:spacing w:line="320" w:lineRule="exact"/>
              <w:rPr>
                <w:rFonts w:ascii="宋体" w:hAnsi="宋体" w:cs="宋体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  <w:t>5. 文件上传与接口服务：支持GB级科研数据上传；常规请求API响应 P95≤500 ms；本地私有化部署支持并发用户≥500，可水平扩展。</w:t>
            </w:r>
          </w:p>
          <w:p w14:paraId="1D6D9646">
            <w:pPr>
              <w:spacing w:line="320" w:lineRule="exact"/>
              <w:rPr>
                <w:rFonts w:ascii="宋体" w:hAnsi="宋体" w:cs="宋体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  <w:t>6. 数据安全与权限控制：具备多种细粒度权限管控机制；实验记录版本留存，修改全程留痕，保障实验过程可审计追溯。</w:t>
            </w:r>
          </w:p>
          <w:p w14:paraId="53D2EA1A">
            <w:pPr>
              <w:spacing w:line="240" w:lineRule="auto"/>
              <w:rPr>
                <w:rFonts w:hint="eastAsia" w:eastAsiaTheme="minorEastAsia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  <w:t>7. 部署授权：软件本地授权，支持永久使用。</w:t>
            </w:r>
          </w:p>
        </w:tc>
        <w:tc>
          <w:tcPr>
            <w:tcW w:w="1201" w:type="dxa"/>
            <w:vAlign w:val="center"/>
          </w:tcPr>
          <w:p w14:paraId="3494B2B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B5E24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1B7F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6" w:hRule="atLeast"/>
        </w:trPr>
        <w:tc>
          <w:tcPr>
            <w:tcW w:w="705" w:type="dxa"/>
            <w:vAlign w:val="center"/>
          </w:tcPr>
          <w:p w14:paraId="1FB5921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7ED25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spacing w:line="320" w:lineRule="exac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交货期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合同签订后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60日内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。</w:t>
            </w:r>
          </w:p>
          <w:p w14:paraId="379C679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交付进度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一次性交付。</w:t>
            </w:r>
          </w:p>
          <w:p w14:paraId="063DF81A">
            <w:pPr>
              <w:tabs>
                <w:tab w:val="left" w:pos="6915"/>
              </w:tabs>
              <w:jc w:val="left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付款方式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  <w:t>甲方预付合同总金额的</w:t>
            </w:r>
            <w:r>
              <w:rPr>
                <w:rFonts w:ascii="宋体" w:hAnsi="宋体" w:cs="宋体"/>
                <w:color w:val="222222"/>
                <w:sz w:val="24"/>
                <w:szCs w:val="24"/>
                <w:shd w:val="clear" w:color="auto" w:fill="FFFFFF"/>
              </w:rPr>
              <w:t>4</w:t>
            </w: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  <w:t>0%，项目验收合格且收到乙方提供的全额支票后支付剩余</w:t>
            </w:r>
            <w:r>
              <w:rPr>
                <w:rFonts w:ascii="宋体" w:hAnsi="宋体" w:cs="宋体"/>
                <w:color w:val="222222"/>
                <w:sz w:val="24"/>
                <w:szCs w:val="24"/>
                <w:shd w:val="clear" w:color="auto" w:fill="FFFFFF"/>
              </w:rPr>
              <w:t>6</w:t>
            </w: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  <w:t>0%尾款。</w:t>
            </w:r>
          </w:p>
          <w:p w14:paraId="4945FAB0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宋体" w:hAnsi="宋体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  <w:lang w:val="en-US" w:eastAsia="zh-CN"/>
              </w:rPr>
              <w:t>验收指标及验收要求：</w:t>
            </w:r>
          </w:p>
          <w:p w14:paraId="22593C19">
            <w:pPr>
              <w:spacing w:line="320" w:lineRule="exact"/>
              <w:rPr>
                <w:rFonts w:ascii="宋体" w:hAnsi="宋体" w:cs="宋体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  <w:t>以技术参数为验收依据，进行现场测试核验的指标如下：</w:t>
            </w:r>
          </w:p>
          <w:p w14:paraId="6D36D77A">
            <w:pPr>
              <w:spacing w:line="320" w:lineRule="exact"/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  <w:t>支持GB级科研数据上传；常规请求API响应 P95≤500 ms。</w:t>
            </w:r>
          </w:p>
          <w:p w14:paraId="0FE8BC56">
            <w:pPr>
              <w:spacing w:line="276" w:lineRule="auto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阶段性检查要求：</w:t>
            </w:r>
          </w:p>
          <w:p w14:paraId="49B7168B">
            <w:pPr>
              <w:spacing w:line="320" w:lineRule="exact"/>
              <w:rPr>
                <w:rFonts w:ascii="宋体" w:hAnsi="宋体" w:cs="宋体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  <w:t>出厂测试：乙方在系统进场安装部署前完成出厂测试，按</w:t>
            </w: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  <w:lang w:eastAsia="zh-CN"/>
              </w:rPr>
              <w:t>“</w:t>
            </w: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  <w:t>规格和技术参数</w:t>
            </w: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  <w:lang w:eastAsia="zh-CN"/>
              </w:rPr>
              <w:t>”</w:t>
            </w: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  <w:t>逐项测试并留视频记录，测试合格后方可进场安装部署。</w:t>
            </w:r>
          </w:p>
          <w:p w14:paraId="73E10952">
            <w:pPr>
              <w:tabs>
                <w:tab w:val="left" w:pos="6915"/>
              </w:tabs>
              <w:jc w:val="left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保修及售后服务：</w:t>
            </w:r>
          </w:p>
          <w:p w14:paraId="63E92286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Chars="0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222222"/>
                <w:sz w:val="24"/>
                <w:szCs w:val="24"/>
                <w:shd w:val="clear" w:color="auto" w:fill="FFFFFF"/>
              </w:rPr>
              <w:t>供货方对系统软件及交付的全部文档提供1 年质量保证期。质保期内，供货方在收到采购方电话、邮件或微信通知后 1 个工作日内响应，并免费提供远程或上门维护、缺陷修复服务。质保期内系统出现质量问题、功能缺陷或与本询价要求不符的情形，供货方须按采购方要求限期包修、包换或包退，并承担由此产生的全部费用。</w:t>
            </w:r>
          </w:p>
        </w:tc>
        <w:tc>
          <w:tcPr>
            <w:tcW w:w="1201" w:type="dxa"/>
            <w:vAlign w:val="center"/>
          </w:tcPr>
          <w:p w14:paraId="5D3E4FB5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43744E8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3A513D56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</w:t>
      </w:r>
    </w:p>
    <w:p w14:paraId="00BC0982">
      <w:pPr>
        <w:wordWrap w:val="0"/>
        <w:ind w:right="840"/>
        <w:jc w:val="right"/>
        <w:rPr>
          <w:rFonts w:hint="default" w:eastAsiaTheme="minorEastAsia"/>
          <w:sz w:val="24"/>
          <w:szCs w:val="24"/>
          <w:lang w:val="en-US" w:eastAsia="zh-CN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  <w:r>
        <w:rPr>
          <w:rFonts w:hint="eastAsia"/>
          <w:sz w:val="24"/>
          <w:szCs w:val="24"/>
        </w:rPr>
        <w:br w:type="textWrapping"/>
      </w: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F6C24"/>
    <w:rsid w:val="03906C14"/>
    <w:rsid w:val="04EF6C24"/>
    <w:rsid w:val="22A304DD"/>
    <w:rsid w:val="230C3504"/>
    <w:rsid w:val="38C84348"/>
    <w:rsid w:val="40620CE9"/>
    <w:rsid w:val="41A921BE"/>
    <w:rsid w:val="4D403FED"/>
    <w:rsid w:val="56137BF2"/>
    <w:rsid w:val="582022AB"/>
    <w:rsid w:val="5906339C"/>
    <w:rsid w:val="5DFF120B"/>
    <w:rsid w:val="60854C98"/>
    <w:rsid w:val="7EF2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1621</Words>
  <Characters>1671</Characters>
  <Lines>0</Lines>
  <Paragraphs>0</Paragraphs>
  <TotalTime>6</TotalTime>
  <ScaleCrop>false</ScaleCrop>
  <LinksUpToDate>false</LinksUpToDate>
  <CharactersWithSpaces>1721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2026-07-17T08:11:00Z</dcterms:created>
  <dc:creator>DELL</dc:creator>
  <cp:lastModifiedBy>王小宇</cp:lastModifiedBy>
  <dcterms:modified xsi:type="dcterms:W3CDTF">2026-10-08T02:52:50Z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FD644CA5FA8244C7809FD40E2310CC12_13</vt:lpwstr>
  </property>
  <property fmtid="{D5CDD505-2E9C-101B-9397-08002B2CF9AE}" pid="4" name="KSOTemplateDocerSaveRecord">
    <vt:lpwstr>eyJoZGlkIjoiN2RmNGQ2MDc0ZGFiNmIyNjNmMmJiNzcxMzg1OWQzY2YiLCJ1c2VySWQiOiIxNzkyMjQ5NTEzIn0=</vt:lpwstr>
  </property>
</Properties>
</file>