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DC9955E">
      <w:pPr>
        <w:jc w:val="center"/>
        <w:rPr>
          <w:sz w:val="36"/>
        </w:rPr>
      </w:pPr>
      <w:r>
        <w:rPr>
          <w:sz w:val="36"/>
        </w:rPr>
        <w:t>中国科学技术大学国家同步辐射实验室</w:t>
      </w:r>
    </w:p>
    <w:p w14:paraId="0973E65B">
      <w:pPr>
        <w:jc w:val="center"/>
        <w:rPr>
          <w:sz w:val="36"/>
        </w:rPr>
      </w:pPr>
      <w:r>
        <w:rPr>
          <w:rFonts w:hint="eastAsia"/>
          <w:sz w:val="36"/>
        </w:rPr>
        <w:t>技术指标供应商确认表</w:t>
      </w:r>
    </w:p>
    <w:p w14:paraId="3E58F52B"/>
    <w:tbl>
      <w:tblPr>
        <w:tblStyle w:val="6"/>
        <w:tblW w:w="10098" w:type="dxa"/>
        <w:tblInd w:w="-5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5"/>
        <w:gridCol w:w="1143"/>
        <w:gridCol w:w="5743"/>
        <w:gridCol w:w="1464"/>
        <w:gridCol w:w="1023"/>
      </w:tblGrid>
      <w:tr w14:paraId="3979F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3" w:hRule="atLeast"/>
        </w:trPr>
        <w:tc>
          <w:tcPr>
            <w:tcW w:w="725" w:type="dxa"/>
            <w:vAlign w:val="center"/>
          </w:tcPr>
          <w:p w14:paraId="75C250BA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序号</w:t>
            </w:r>
          </w:p>
        </w:tc>
        <w:tc>
          <w:tcPr>
            <w:tcW w:w="1143" w:type="dxa"/>
            <w:vAlign w:val="center"/>
          </w:tcPr>
          <w:p w14:paraId="3A9FF52B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名称</w:t>
            </w:r>
          </w:p>
        </w:tc>
        <w:tc>
          <w:tcPr>
            <w:tcW w:w="5743" w:type="dxa"/>
            <w:vAlign w:val="center"/>
          </w:tcPr>
          <w:p w14:paraId="258D475E">
            <w:pPr>
              <w:spacing w:line="240" w:lineRule="atLeast"/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技术指标</w:t>
            </w:r>
          </w:p>
        </w:tc>
        <w:tc>
          <w:tcPr>
            <w:tcW w:w="1464" w:type="dxa"/>
            <w:vAlign w:val="center"/>
          </w:tcPr>
          <w:p w14:paraId="37F7A556">
            <w:pPr>
              <w:spacing w:line="240" w:lineRule="atLeas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偏离说明</w:t>
            </w:r>
          </w:p>
          <w:p w14:paraId="328E92F5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(</w:t>
            </w:r>
            <w:r>
              <w:rPr>
                <w:szCs w:val="21"/>
              </w:rPr>
              <w:t>无偏离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正偏离</w:t>
            </w:r>
            <w:r>
              <w:rPr>
                <w:rFonts w:hint="eastAsia"/>
                <w:szCs w:val="21"/>
              </w:rPr>
              <w:t>/</w:t>
            </w:r>
            <w:r>
              <w:rPr>
                <w:szCs w:val="21"/>
              </w:rPr>
              <w:t>负偏离</w:t>
            </w:r>
            <w:r>
              <w:rPr>
                <w:rFonts w:hint="eastAsia"/>
                <w:szCs w:val="21"/>
              </w:rPr>
              <w:t>)</w:t>
            </w:r>
          </w:p>
        </w:tc>
        <w:tc>
          <w:tcPr>
            <w:tcW w:w="1023" w:type="dxa"/>
            <w:vAlign w:val="center"/>
          </w:tcPr>
          <w:p w14:paraId="22A89C1E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2"/>
              </w:rPr>
              <w:t>偏离值</w:t>
            </w:r>
          </w:p>
        </w:tc>
      </w:tr>
      <w:tr w14:paraId="394384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0" w:hRule="atLeast"/>
        </w:trPr>
        <w:tc>
          <w:tcPr>
            <w:tcW w:w="725" w:type="dxa"/>
            <w:vAlign w:val="center"/>
          </w:tcPr>
          <w:p w14:paraId="185CA09D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1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492426">
            <w:pPr>
              <w:tabs>
                <w:tab w:val="left" w:pos="6915"/>
              </w:tabs>
              <w:rPr>
                <w:rFonts w:ascii="Times New Roman" w:hAnsi="Times New Roman" w:eastAsia="宋体" w:cs="Times New Roman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4"/>
                <w:szCs w:val="24"/>
              </w:rPr>
              <w:t>软X射线波段真空sCMOS面探测器</w:t>
            </w:r>
          </w:p>
          <w:p w14:paraId="7E88FD24">
            <w:pPr>
              <w:widowControl/>
              <w:spacing w:line="240" w:lineRule="atLeast"/>
              <w:jc w:val="center"/>
              <w:rPr>
                <w:rFonts w:ascii="Times New Roman" w:hAnsi="Times New Roman" w:eastAsia="宋体" w:cs="Times New Roman"/>
                <w:szCs w:val="24"/>
              </w:rPr>
            </w:pPr>
          </w:p>
        </w:tc>
        <w:tc>
          <w:tcPr>
            <w:tcW w:w="57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tbl>
            <w:tblPr>
              <w:tblStyle w:val="6"/>
              <w:tblW w:w="4997" w:type="pct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autofit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4731"/>
              <w:gridCol w:w="783"/>
            </w:tblGrid>
            <w:tr w14:paraId="47A3346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94" w:hRule="atLeast"/>
              </w:trPr>
              <w:tc>
                <w:tcPr>
                  <w:tcW w:w="4731" w:type="dxa"/>
                  <w:vAlign w:val="top"/>
                </w:tcPr>
                <w:p w14:paraId="5C3D4888">
                  <w:pPr>
                    <w:tabs>
                      <w:tab w:val="left" w:pos="6915"/>
                    </w:tabs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技术参数需求</w:t>
                  </w:r>
                </w:p>
              </w:tc>
              <w:tc>
                <w:tcPr>
                  <w:tcW w:w="783" w:type="dxa"/>
                  <w:vAlign w:val="top"/>
                </w:tcPr>
                <w:p w14:paraId="3614663E">
                  <w:pPr>
                    <w:tabs>
                      <w:tab w:val="left" w:pos="6915"/>
                    </w:tabs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数量</w:t>
                  </w:r>
                </w:p>
              </w:tc>
            </w:tr>
            <w:tr w14:paraId="08E463AA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3051" w:hRule="atLeast"/>
              </w:trPr>
              <w:tc>
                <w:tcPr>
                  <w:tcW w:w="4731" w:type="dxa"/>
                  <w:vAlign w:val="top"/>
                </w:tcPr>
                <w:p w14:paraId="77D2D073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工作真空度≤</w:t>
                  </w:r>
                  <w:r>
                    <w:rPr>
                      <w:bCs/>
                      <w:szCs w:val="21"/>
                    </w:rPr>
                    <w:t>5</w:t>
                  </w:r>
                  <w:r>
                    <w:rPr>
                      <w:rFonts w:hint="eastAsia"/>
                      <w:bCs/>
                      <w:szCs w:val="21"/>
                    </w:rPr>
                    <w:t>×</w:t>
                  </w:r>
                  <w:r>
                    <w:rPr>
                      <w:bCs/>
                      <w:szCs w:val="21"/>
                    </w:rPr>
                    <w:t>10</w:t>
                  </w:r>
                  <w:r>
                    <w:rPr>
                      <w:bCs/>
                      <w:szCs w:val="21"/>
                      <w:vertAlign w:val="superscript"/>
                    </w:rPr>
                    <w:t>-7</w:t>
                  </w:r>
                  <w:r>
                    <w:rPr>
                      <w:bCs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bCs/>
                      <w:szCs w:val="21"/>
                    </w:rPr>
                    <w:t>Pa</w:t>
                  </w:r>
                  <w:r>
                    <w:rPr>
                      <w:bCs/>
                      <w:szCs w:val="21"/>
                    </w:rPr>
                    <w:t xml:space="preserve"> (5</w:t>
                  </w:r>
                  <w:r>
                    <w:rPr>
                      <w:rFonts w:hint="eastAsia"/>
                      <w:bCs/>
                      <w:szCs w:val="21"/>
                    </w:rPr>
                    <w:t>×</w:t>
                  </w:r>
                  <w:r>
                    <w:rPr>
                      <w:bCs/>
                      <w:szCs w:val="21"/>
                    </w:rPr>
                    <w:t>10</w:t>
                  </w:r>
                  <w:r>
                    <w:rPr>
                      <w:bCs/>
                      <w:szCs w:val="21"/>
                      <w:vertAlign w:val="superscript"/>
                    </w:rPr>
                    <w:t>-9</w:t>
                  </w:r>
                  <w:r>
                    <w:rPr>
                      <w:bCs/>
                      <w:szCs w:val="21"/>
                    </w:rPr>
                    <w:t xml:space="preserve"> </w:t>
                  </w:r>
                  <w:r>
                    <w:rPr>
                      <w:rFonts w:hint="eastAsia"/>
                      <w:bCs/>
                      <w:szCs w:val="21"/>
                    </w:rPr>
                    <w:t>mbar</w:t>
                  </w:r>
                  <w:r>
                    <w:rPr>
                      <w:bCs/>
                      <w:szCs w:val="21"/>
                    </w:rPr>
                    <w:t>)</w:t>
                  </w:r>
                  <w:r>
                    <w:rPr>
                      <w:rFonts w:hint="eastAsia"/>
                      <w:bCs/>
                      <w:szCs w:val="21"/>
                    </w:rPr>
                    <w:t>，工作能量范围覆盖100 eV-</w:t>
                  </w:r>
                  <w:r>
                    <w:rPr>
                      <w:bCs/>
                      <w:szCs w:val="21"/>
                    </w:rPr>
                    <w:t xml:space="preserve">1000 </w:t>
                  </w:r>
                  <w:r>
                    <w:rPr>
                      <w:rFonts w:hint="eastAsia"/>
                      <w:bCs/>
                      <w:szCs w:val="21"/>
                    </w:rPr>
                    <w:t>eV</w:t>
                  </w:r>
                </w:p>
                <w:p w14:paraId="613F34CD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芯片类型为无抗反射镀膜背照式sCMOS，像元尺寸≤6</w:t>
                  </w:r>
                  <w:r>
                    <w:rPr>
                      <w:bCs/>
                      <w:szCs w:val="21"/>
                    </w:rPr>
                    <w:t>.5 μm</w:t>
                  </w:r>
                  <w:r>
                    <w:rPr>
                      <w:rFonts w:hint="eastAsia"/>
                      <w:bCs/>
                      <w:szCs w:val="21"/>
                    </w:rPr>
                    <w:t>，分辨率2</w:t>
                  </w:r>
                  <w:r>
                    <w:rPr>
                      <w:bCs/>
                      <w:szCs w:val="21"/>
                    </w:rPr>
                    <w:t>048</w:t>
                  </w:r>
                  <w:r>
                    <w:rPr>
                      <w:rFonts w:hint="eastAsia"/>
                      <w:bCs/>
                      <w:szCs w:val="21"/>
                    </w:rPr>
                    <w:t>×</w:t>
                  </w:r>
                  <w:r>
                    <w:rPr>
                      <w:bCs/>
                      <w:szCs w:val="21"/>
                    </w:rPr>
                    <w:t>2048</w:t>
                  </w:r>
                  <w:r>
                    <w:rPr>
                      <w:rFonts w:hint="eastAsia"/>
                      <w:bCs/>
                      <w:szCs w:val="21"/>
                    </w:rPr>
                    <w:t>，量子效率≥90%（100 eV-</w:t>
                  </w:r>
                  <w:r>
                    <w:rPr>
                      <w:bCs/>
                      <w:szCs w:val="21"/>
                    </w:rPr>
                    <w:t xml:space="preserve">1000 </w:t>
                  </w:r>
                  <w:r>
                    <w:rPr>
                      <w:rFonts w:hint="eastAsia"/>
                      <w:bCs/>
                      <w:szCs w:val="21"/>
                    </w:rPr>
                    <w:t>eV）</w:t>
                  </w:r>
                </w:p>
                <w:p w14:paraId="1CB21355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帧率≥</w:t>
                  </w:r>
                  <w:r>
                    <w:rPr>
                      <w:bCs/>
                      <w:szCs w:val="21"/>
                    </w:rPr>
                    <w:t xml:space="preserve">20 </w:t>
                  </w:r>
                  <w:r>
                    <w:rPr>
                      <w:rFonts w:hint="eastAsia"/>
                      <w:bCs/>
                      <w:szCs w:val="21"/>
                    </w:rPr>
                    <w:t>fps，动态范围≥</w:t>
                  </w:r>
                  <w:r>
                    <w:rPr>
                      <w:bCs/>
                      <w:szCs w:val="21"/>
                    </w:rPr>
                    <w:t>85</w:t>
                  </w:r>
                  <w:r>
                    <w:rPr>
                      <w:rFonts w:hint="eastAsia"/>
                      <w:bCs/>
                      <w:szCs w:val="21"/>
                    </w:rPr>
                    <w:t>d</w:t>
                  </w:r>
                  <w:r>
                    <w:rPr>
                      <w:bCs/>
                      <w:szCs w:val="21"/>
                    </w:rPr>
                    <w:t>B</w:t>
                  </w:r>
                  <w:r>
                    <w:rPr>
                      <w:rFonts w:hint="eastAsia"/>
                      <w:bCs/>
                      <w:szCs w:val="21"/>
                    </w:rPr>
                    <w:t>，满阱容量≥3</w:t>
                  </w:r>
                  <w:r>
                    <w:rPr>
                      <w:bCs/>
                      <w:szCs w:val="21"/>
                    </w:rPr>
                    <w:t xml:space="preserve">5 </w:t>
                  </w:r>
                  <w:r>
                    <w:rPr>
                      <w:rFonts w:hint="eastAsia"/>
                      <w:bCs/>
                      <w:szCs w:val="21"/>
                    </w:rPr>
                    <w:t>k</w:t>
                  </w:r>
                  <w:r>
                    <w:rPr>
                      <w:bCs/>
                      <w:szCs w:val="21"/>
                    </w:rPr>
                    <w:t>e</w:t>
                  </w:r>
                  <w:r>
                    <w:rPr>
                      <w:bCs/>
                      <w:szCs w:val="21"/>
                      <w:vertAlign w:val="superscript"/>
                    </w:rPr>
                    <w:t>-</w:t>
                  </w:r>
                  <w:r>
                    <w:rPr>
                      <w:rFonts w:hint="eastAsia"/>
                      <w:bCs/>
                      <w:szCs w:val="21"/>
                    </w:rPr>
                    <w:t>，读出噪声≤</w:t>
                  </w:r>
                  <w:r>
                    <w:rPr>
                      <w:bCs/>
                      <w:szCs w:val="21"/>
                    </w:rPr>
                    <w:t>2.6 e</w:t>
                  </w:r>
                  <w:r>
                    <w:rPr>
                      <w:bCs/>
                      <w:szCs w:val="21"/>
                      <w:vertAlign w:val="superscript"/>
                    </w:rPr>
                    <w:t>-</w:t>
                  </w:r>
                  <w:r>
                    <w:rPr>
                      <w:rFonts w:hint="eastAsia"/>
                      <w:bCs/>
                      <w:szCs w:val="21"/>
                    </w:rPr>
                    <w:t>，暗电流：≤</w:t>
                  </w:r>
                  <w:r>
                    <w:rPr>
                      <w:bCs/>
                      <w:szCs w:val="21"/>
                    </w:rPr>
                    <w:t>1.2 e-/pixels/s</w:t>
                  </w:r>
                </w:p>
                <w:p w14:paraId="118744EB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制冷方式：风冷</w:t>
                  </w:r>
                </w:p>
                <w:p w14:paraId="6B4A038D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安装法兰规格：DN</w:t>
                  </w:r>
                  <w:r>
                    <w:rPr>
                      <w:bCs/>
                      <w:szCs w:val="21"/>
                    </w:rPr>
                    <w:t>100CF</w:t>
                  </w:r>
                </w:p>
                <w:p w14:paraId="4A25D5C3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软件开发支持：</w:t>
                  </w:r>
                  <w:r>
                    <w:rPr>
                      <w:bCs/>
                      <w:szCs w:val="21"/>
                    </w:rPr>
                    <w:t>LabVIEW, EPICS</w:t>
                  </w:r>
                </w:p>
                <w:p w14:paraId="2339263D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hanging="357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可见光滤光膜：直径≥1</w:t>
                  </w:r>
                  <w:r>
                    <w:rPr>
                      <w:bCs/>
                      <w:szCs w:val="21"/>
                    </w:rPr>
                    <w:t xml:space="preserve">0 </w:t>
                  </w:r>
                  <w:r>
                    <w:rPr>
                      <w:rFonts w:hint="eastAsia"/>
                      <w:bCs/>
                      <w:szCs w:val="21"/>
                    </w:rPr>
                    <w:t>mm，铝箔，超高真空兼容</w:t>
                  </w:r>
                </w:p>
                <w:p w14:paraId="52680407">
                  <w:pPr>
                    <w:numPr>
                      <w:ilvl w:val="0"/>
                      <w:numId w:val="1"/>
                    </w:numPr>
                    <w:tabs>
                      <w:tab w:val="left" w:pos="6915"/>
                    </w:tabs>
                    <w:spacing w:line="288" w:lineRule="auto"/>
                    <w:ind w:left="357" w:leftChars="0" w:hanging="357" w:firstLineChars="0"/>
                    <w:jc w:val="left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配件和备件要求：相机采购包含数据传输所需的线缆2根、采集卡1张、可见光滤光膜</w:t>
                  </w:r>
                  <w:r>
                    <w:rPr>
                      <w:bCs/>
                      <w:szCs w:val="21"/>
                    </w:rPr>
                    <w:t>2</w:t>
                  </w:r>
                  <w:r>
                    <w:rPr>
                      <w:rFonts w:hint="eastAsia"/>
                      <w:bCs/>
                      <w:szCs w:val="21"/>
                    </w:rPr>
                    <w:t>张</w:t>
                  </w:r>
                </w:p>
              </w:tc>
              <w:tc>
                <w:tcPr>
                  <w:tcW w:w="783" w:type="dxa"/>
                  <w:vAlign w:val="center"/>
                </w:tcPr>
                <w:p w14:paraId="0BE5C5DD">
                  <w:pPr>
                    <w:tabs>
                      <w:tab w:val="left" w:pos="6915"/>
                    </w:tabs>
                    <w:spacing w:line="288" w:lineRule="auto"/>
                    <w:jc w:val="center"/>
                    <w:rPr>
                      <w:bCs/>
                      <w:szCs w:val="21"/>
                    </w:rPr>
                  </w:pPr>
                  <w:r>
                    <w:rPr>
                      <w:rFonts w:hint="eastAsia"/>
                      <w:bCs/>
                      <w:szCs w:val="21"/>
                    </w:rPr>
                    <w:t>1套</w:t>
                  </w:r>
                </w:p>
              </w:tc>
            </w:tr>
          </w:tbl>
          <w:p w14:paraId="2068E50C">
            <w:pPr>
              <w:tabs>
                <w:tab w:val="left" w:pos="6915"/>
              </w:tabs>
              <w:rPr>
                <w:bCs/>
                <w:sz w:val="24"/>
              </w:rPr>
            </w:pPr>
            <w:r>
              <w:rPr>
                <w:rFonts w:hint="eastAsia"/>
                <w:bCs/>
              </w:rPr>
              <w:t>注：报价时</w:t>
            </w:r>
            <w:r>
              <w:rPr>
                <w:bCs/>
              </w:rPr>
              <w:t>需提供业绩证明材料：</w:t>
            </w:r>
            <w:r>
              <w:t>业绩证明材料</w:t>
            </w:r>
            <w:r>
              <w:rPr>
                <w:bCs/>
              </w:rPr>
              <w:t>须</w:t>
            </w:r>
            <w:r>
              <w:t>体现乙方具备</w:t>
            </w:r>
            <w:r>
              <w:rPr>
                <w:rFonts w:hint="eastAsia"/>
              </w:rPr>
              <w:t>软X射线波段的真空sCMOS面探测器</w:t>
            </w:r>
            <w:r>
              <w:t>的交付能力，所提供业绩的真空度须优于</w:t>
            </w:r>
            <w:r>
              <w:rPr>
                <w:bCs/>
              </w:rPr>
              <w:t>1×10</w:t>
            </w:r>
            <w:r>
              <w:rPr>
                <w:bCs/>
                <w:vertAlign w:val="superscript"/>
              </w:rPr>
              <w:t xml:space="preserve">-8 </w:t>
            </w:r>
            <w:r>
              <w:rPr>
                <w:bCs/>
              </w:rPr>
              <w:t>mbar</w:t>
            </w:r>
            <w:r>
              <w:t>。</w:t>
            </w:r>
          </w:p>
        </w:tc>
        <w:tc>
          <w:tcPr>
            <w:tcW w:w="1464" w:type="dxa"/>
            <w:vAlign w:val="center"/>
          </w:tcPr>
          <w:p w14:paraId="205FF5AB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1C60665B">
            <w:pPr>
              <w:spacing w:line="240" w:lineRule="atLeast"/>
              <w:jc w:val="center"/>
            </w:pPr>
          </w:p>
        </w:tc>
      </w:tr>
      <w:tr w14:paraId="497EA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7" w:hRule="atLeast"/>
        </w:trPr>
        <w:tc>
          <w:tcPr>
            <w:tcW w:w="725" w:type="dxa"/>
            <w:vAlign w:val="center"/>
          </w:tcPr>
          <w:p w14:paraId="21D5CC9B">
            <w:pPr>
              <w:spacing w:line="240" w:lineRule="atLeast"/>
              <w:jc w:val="center"/>
            </w:pPr>
            <w:r>
              <w:t>2</w:t>
            </w:r>
          </w:p>
        </w:tc>
        <w:tc>
          <w:tcPr>
            <w:tcW w:w="11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17188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74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D022F6">
            <w:pPr>
              <w:tabs>
                <w:tab w:val="left" w:pos="6915"/>
              </w:tabs>
              <w:spacing w:line="288" w:lineRule="auto"/>
              <w:jc w:val="left"/>
              <w:rPr>
                <w:bCs/>
                <w:szCs w:val="21"/>
              </w:rPr>
            </w:pPr>
            <w:r>
              <w:rPr>
                <w:rFonts w:ascii="宋体" w:hAnsi="宋体"/>
                <w:b/>
                <w:szCs w:val="21"/>
              </w:rPr>
              <w:t>交</w:t>
            </w:r>
            <w:r>
              <w:rPr>
                <w:b/>
                <w:szCs w:val="21"/>
              </w:rPr>
              <w:t>货期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szCs w:val="21"/>
              </w:rPr>
              <w:t>合同签订后</w:t>
            </w:r>
            <w:r>
              <w:rPr>
                <w:bCs/>
                <w:szCs w:val="21"/>
              </w:rPr>
              <w:t>10</w:t>
            </w:r>
            <w:r>
              <w:rPr>
                <w:rFonts w:hint="eastAsia"/>
                <w:bCs/>
                <w:szCs w:val="21"/>
              </w:rPr>
              <w:t>个月内交货。</w:t>
            </w:r>
          </w:p>
          <w:p w14:paraId="17DA05AC">
            <w:pPr>
              <w:tabs>
                <w:tab w:val="left" w:pos="6915"/>
              </w:tabs>
              <w:spacing w:line="288" w:lineRule="auto"/>
              <w:jc w:val="left"/>
              <w:rPr>
                <w:bCs/>
                <w:szCs w:val="21"/>
              </w:rPr>
            </w:pPr>
            <w:r>
              <w:rPr>
                <w:b/>
                <w:szCs w:val="21"/>
              </w:rPr>
              <w:t>交付进度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一次性交付。</w:t>
            </w:r>
          </w:p>
          <w:p w14:paraId="221843D8">
            <w:pPr>
              <w:tabs>
                <w:tab w:val="left" w:pos="6915"/>
              </w:tabs>
              <w:spacing w:line="288" w:lineRule="auto"/>
              <w:jc w:val="left"/>
              <w:rPr>
                <w:szCs w:val="21"/>
              </w:rPr>
            </w:pPr>
            <w:r>
              <w:rPr>
                <w:b/>
                <w:szCs w:val="21"/>
              </w:rPr>
              <w:t>付款方式</w:t>
            </w:r>
            <w:r>
              <w:rPr>
                <w:rFonts w:hint="eastAsia"/>
                <w:szCs w:val="21"/>
              </w:rPr>
              <w:t>：合同签订后支付合同总额的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0%，货到验收合格后支付尾款。</w:t>
            </w:r>
          </w:p>
          <w:p w14:paraId="17EF7D54">
            <w:pPr>
              <w:tabs>
                <w:tab w:val="left" w:pos="6915"/>
              </w:tabs>
              <w:spacing w:line="288" w:lineRule="auto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验收指标及验收要求：</w:t>
            </w:r>
            <w:r>
              <w:rPr>
                <w:rFonts w:hint="eastAsia"/>
                <w:szCs w:val="21"/>
              </w:rPr>
              <w:t>以厂家的出厂测试报告或第三方检测报告为准。</w:t>
            </w:r>
          </w:p>
          <w:p w14:paraId="0A34976C">
            <w:pPr>
              <w:pStyle w:val="11"/>
              <w:numPr>
                <w:ilvl w:val="0"/>
                <w:numId w:val="0"/>
              </w:numPr>
              <w:tabs>
                <w:tab w:val="left" w:pos="6915"/>
                <w:tab w:val="clear" w:pos="1428"/>
              </w:tabs>
              <w:ind w:leftChars="0"/>
              <w:rPr>
                <w:rFonts w:hint="eastAsia" w:ascii="宋体" w:hAnsi="宋体"/>
                <w:szCs w:val="21"/>
              </w:rPr>
            </w:pPr>
            <w:r>
              <w:rPr>
                <w:rFonts w:hint="eastAsia"/>
                <w:b/>
                <w:szCs w:val="21"/>
              </w:rPr>
              <w:t>保修</w:t>
            </w:r>
            <w:r>
              <w:rPr>
                <w:b/>
                <w:szCs w:val="21"/>
              </w:rPr>
              <w:t>及售后服务</w:t>
            </w:r>
            <w:r>
              <w:rPr>
                <w:rFonts w:hint="eastAsia"/>
                <w:b/>
                <w:szCs w:val="21"/>
              </w:rPr>
              <w:t>：</w:t>
            </w:r>
            <w:r>
              <w:rPr>
                <w:rFonts w:hint="eastAsia"/>
                <w:bCs/>
                <w:szCs w:val="21"/>
              </w:rPr>
              <w:t>自验收之日起质保2年以上。</w:t>
            </w:r>
            <w:bookmarkStart w:id="0" w:name="_GoBack"/>
            <w:bookmarkEnd w:id="0"/>
          </w:p>
        </w:tc>
        <w:tc>
          <w:tcPr>
            <w:tcW w:w="1464" w:type="dxa"/>
            <w:vAlign w:val="center"/>
          </w:tcPr>
          <w:p w14:paraId="324B1D27">
            <w:pPr>
              <w:spacing w:line="240" w:lineRule="atLeast"/>
              <w:jc w:val="center"/>
            </w:pPr>
          </w:p>
        </w:tc>
        <w:tc>
          <w:tcPr>
            <w:tcW w:w="1023" w:type="dxa"/>
            <w:vAlign w:val="center"/>
          </w:tcPr>
          <w:p w14:paraId="06AA2CA0">
            <w:pPr>
              <w:spacing w:line="240" w:lineRule="atLeast"/>
              <w:jc w:val="center"/>
            </w:pPr>
          </w:p>
        </w:tc>
      </w:tr>
    </w:tbl>
    <w:p w14:paraId="0DED7F3B">
      <w:pPr>
        <w:ind w:right="840" w:firstLine="5040" w:firstLineChars="2100"/>
        <w:rPr>
          <w:sz w:val="24"/>
        </w:rPr>
      </w:pPr>
    </w:p>
    <w:p w14:paraId="6B36AD4F">
      <w:pPr>
        <w:ind w:right="840" w:firstLine="5040" w:firstLineChars="2100"/>
        <w:rPr>
          <w:sz w:val="24"/>
        </w:rPr>
      </w:pPr>
      <w:r>
        <w:rPr>
          <w:sz w:val="24"/>
        </w:rPr>
        <w:t>公司名称</w:t>
      </w:r>
      <w:r>
        <w:rPr>
          <w:rFonts w:hint="eastAsia"/>
          <w:sz w:val="24"/>
        </w:rPr>
        <w:t>（盖章）：</w:t>
      </w:r>
    </w:p>
    <w:p w14:paraId="2BA3965A">
      <w:pPr>
        <w:ind w:right="840"/>
        <w:jc w:val="center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日期</w:t>
      </w:r>
      <w:r>
        <w:rPr>
          <w:rFonts w:hint="eastAsia"/>
          <w:sz w:val="24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YaHei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8360B8D"/>
    <w:multiLevelType w:val="multilevel"/>
    <w:tmpl w:val="18360B8D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10C4"/>
    <w:rsid w:val="00015CB8"/>
    <w:rsid w:val="00020783"/>
    <w:rsid w:val="00050922"/>
    <w:rsid w:val="00086882"/>
    <w:rsid w:val="00090223"/>
    <w:rsid w:val="00091C8D"/>
    <w:rsid w:val="000E54CE"/>
    <w:rsid w:val="00102C13"/>
    <w:rsid w:val="00123779"/>
    <w:rsid w:val="001501D1"/>
    <w:rsid w:val="001548E0"/>
    <w:rsid w:val="00180627"/>
    <w:rsid w:val="001B219D"/>
    <w:rsid w:val="001D3367"/>
    <w:rsid w:val="002026B2"/>
    <w:rsid w:val="002212AC"/>
    <w:rsid w:val="00261EE1"/>
    <w:rsid w:val="00267E42"/>
    <w:rsid w:val="002D1729"/>
    <w:rsid w:val="002E518A"/>
    <w:rsid w:val="003009AA"/>
    <w:rsid w:val="00363C73"/>
    <w:rsid w:val="003923FC"/>
    <w:rsid w:val="003C2330"/>
    <w:rsid w:val="003C7C5A"/>
    <w:rsid w:val="004626C3"/>
    <w:rsid w:val="004973C3"/>
    <w:rsid w:val="004B0D2F"/>
    <w:rsid w:val="00516FB3"/>
    <w:rsid w:val="00547A75"/>
    <w:rsid w:val="00584F75"/>
    <w:rsid w:val="005C4758"/>
    <w:rsid w:val="005E2C0C"/>
    <w:rsid w:val="005F7E7B"/>
    <w:rsid w:val="00630F8F"/>
    <w:rsid w:val="00642CDA"/>
    <w:rsid w:val="00670B3D"/>
    <w:rsid w:val="006C07B4"/>
    <w:rsid w:val="006D67E0"/>
    <w:rsid w:val="00705387"/>
    <w:rsid w:val="00720BC4"/>
    <w:rsid w:val="007230C5"/>
    <w:rsid w:val="00731AE1"/>
    <w:rsid w:val="00744E8E"/>
    <w:rsid w:val="00750961"/>
    <w:rsid w:val="00757D88"/>
    <w:rsid w:val="00763EDD"/>
    <w:rsid w:val="007B2AE3"/>
    <w:rsid w:val="00811B08"/>
    <w:rsid w:val="00825420"/>
    <w:rsid w:val="00832C3E"/>
    <w:rsid w:val="00841F33"/>
    <w:rsid w:val="00872767"/>
    <w:rsid w:val="00877DA3"/>
    <w:rsid w:val="008A717C"/>
    <w:rsid w:val="008D62B6"/>
    <w:rsid w:val="008E3DB8"/>
    <w:rsid w:val="008F0FFC"/>
    <w:rsid w:val="008F5C2B"/>
    <w:rsid w:val="009149BA"/>
    <w:rsid w:val="00961437"/>
    <w:rsid w:val="00995429"/>
    <w:rsid w:val="00996AC3"/>
    <w:rsid w:val="009B6E26"/>
    <w:rsid w:val="009C3224"/>
    <w:rsid w:val="009C4C31"/>
    <w:rsid w:val="009E2F9A"/>
    <w:rsid w:val="009F5C3A"/>
    <w:rsid w:val="00A01094"/>
    <w:rsid w:val="00A11447"/>
    <w:rsid w:val="00A20D98"/>
    <w:rsid w:val="00A27625"/>
    <w:rsid w:val="00A44E8A"/>
    <w:rsid w:val="00A533CA"/>
    <w:rsid w:val="00A66F06"/>
    <w:rsid w:val="00A7013F"/>
    <w:rsid w:val="00A8112C"/>
    <w:rsid w:val="00AC1D37"/>
    <w:rsid w:val="00AC67EF"/>
    <w:rsid w:val="00AF7A8B"/>
    <w:rsid w:val="00B0175F"/>
    <w:rsid w:val="00B04741"/>
    <w:rsid w:val="00B311D0"/>
    <w:rsid w:val="00B64004"/>
    <w:rsid w:val="00B7785A"/>
    <w:rsid w:val="00B90DC2"/>
    <w:rsid w:val="00B971DE"/>
    <w:rsid w:val="00BA1B3F"/>
    <w:rsid w:val="00BC2767"/>
    <w:rsid w:val="00BD701B"/>
    <w:rsid w:val="00C102A3"/>
    <w:rsid w:val="00C1298E"/>
    <w:rsid w:val="00C26D9F"/>
    <w:rsid w:val="00C420C3"/>
    <w:rsid w:val="00C442AD"/>
    <w:rsid w:val="00CA3288"/>
    <w:rsid w:val="00CA3E3B"/>
    <w:rsid w:val="00D011DC"/>
    <w:rsid w:val="00D04097"/>
    <w:rsid w:val="00D16AC0"/>
    <w:rsid w:val="00D24D09"/>
    <w:rsid w:val="00D72E1E"/>
    <w:rsid w:val="00D81354"/>
    <w:rsid w:val="00DA7BF9"/>
    <w:rsid w:val="00E00131"/>
    <w:rsid w:val="00E0215E"/>
    <w:rsid w:val="00E147A9"/>
    <w:rsid w:val="00E5012E"/>
    <w:rsid w:val="00E762FD"/>
    <w:rsid w:val="00E930C8"/>
    <w:rsid w:val="00EA412A"/>
    <w:rsid w:val="00EA6BA9"/>
    <w:rsid w:val="00EB6FB2"/>
    <w:rsid w:val="00EC5A9D"/>
    <w:rsid w:val="00F02F94"/>
    <w:rsid w:val="00F26580"/>
    <w:rsid w:val="00F347F0"/>
    <w:rsid w:val="00F34AE9"/>
    <w:rsid w:val="00F357B0"/>
    <w:rsid w:val="00F43549"/>
    <w:rsid w:val="00F50B62"/>
    <w:rsid w:val="00F70F95"/>
    <w:rsid w:val="00F82AA6"/>
    <w:rsid w:val="00F855E3"/>
    <w:rsid w:val="00FA453C"/>
    <w:rsid w:val="00FC7C08"/>
    <w:rsid w:val="00FE15FA"/>
    <w:rsid w:val="00FF78CF"/>
    <w:rsid w:val="0279069A"/>
    <w:rsid w:val="2D070EC5"/>
    <w:rsid w:val="468B21C7"/>
    <w:rsid w:val="46BF17AE"/>
    <w:rsid w:val="48EB0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unhideWhenUsed/>
    <w:uiPriority w:val="99"/>
    <w:pPr>
      <w:spacing w:beforeAutospacing="1" w:afterAutospacing="1" w:line="278" w:lineRule="auto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fontstyle01"/>
    <w:basedOn w:val="7"/>
    <w:qFormat/>
    <w:uiPriority w:val="0"/>
    <w:rPr>
      <w:rFonts w:hint="default" w:ascii="MicrosoftYaHei" w:hAnsi="MicrosoftYaHei"/>
      <w:color w:val="000000"/>
      <w:sz w:val="22"/>
      <w:szCs w:val="22"/>
    </w:rPr>
  </w:style>
  <w:style w:type="character" w:customStyle="1" w:styleId="9">
    <w:name w:val="页眉 字符"/>
    <w:basedOn w:val="7"/>
    <w:link w:val="3"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2"/>
    <w:qFormat/>
    <w:uiPriority w:val="99"/>
    <w:rPr>
      <w:sz w:val="18"/>
      <w:szCs w:val="18"/>
    </w:rPr>
  </w:style>
  <w:style w:type="paragraph" w:styleId="11">
    <w:name w:val="List Paragraph"/>
    <w:basedOn w:val="1"/>
    <w:autoRedefine/>
    <w:qFormat/>
    <w:uiPriority w:val="99"/>
    <w:pPr>
      <w:tabs>
        <w:tab w:val="left" w:pos="1428"/>
      </w:tabs>
      <w:ind w:firstLine="420" w:firstLineChars="200"/>
      <w:jc w:val="left"/>
    </w:pPr>
    <w:rPr>
      <w:rFonts w:ascii="Times New Roman" w:hAnsi="Times New Roman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1</Pages>
  <Words>462</Words>
  <Characters>571</Characters>
  <Lines>5</Lines>
  <Paragraphs>1</Paragraphs>
  <TotalTime>0</TotalTime>
  <ScaleCrop>false</ScaleCrop>
  <LinksUpToDate>false</LinksUpToDate>
  <CharactersWithSpaces>615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2024-07-15T01:36:00Z</dcterms:created>
  <dc:creator>China</dc:creator>
  <cp:lastModifiedBy>Administrator</cp:lastModifiedBy>
  <dcterms:modified xsi:type="dcterms:W3CDTF">2025-12-08T09:35:01Z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eyJoZGlkIjoiN2RlYWI4ZWUzNTBhNTYxZTE1ZDI0ZDliNjg4YTQ3ZjIifQ==</vt:lpwstr>
  </property>
  <property fmtid="{D5CDD505-2E9C-101B-9397-08002B2CF9AE}" pid="3" name="KSOProductBuildVer">
    <vt:lpwstr>2052-12.1.0.23542</vt:lpwstr>
  </property>
  <property fmtid="{D5CDD505-2E9C-101B-9397-08002B2CF9AE}" pid="4" name="ICV">
    <vt:lpwstr>20B1B4D6E71F47CB8E65CCEFBC87FC75_12</vt:lpwstr>
  </property>
</Properties>
</file>