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2E2770">
        <w:trPr>
          <w:trHeight w:hRule="exact" w:val="9439"/>
        </w:trPr>
        <w:tc>
          <w:tcPr>
            <w:tcW w:w="993" w:type="dxa"/>
            <w:vAlign w:val="center"/>
          </w:tcPr>
          <w:p w:rsidR="007D7992" w:rsidRDefault="007D7992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2E2770" w:rsidP="002E277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冲击磁铁放电柜等</w:t>
            </w:r>
          </w:p>
        </w:tc>
        <w:tc>
          <w:tcPr>
            <w:tcW w:w="6804" w:type="dxa"/>
          </w:tcPr>
          <w:p w:rsidR="002E2770" w:rsidRPr="002E2770" w:rsidRDefault="002E2770" w:rsidP="002E2770">
            <w:pP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冲击磁铁放电柜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：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负载电感≤0.6 uH（采购方提供），总电感＜1.5 uH；放电电流≥6 kA；输出脉冲电流波形为半正弦波，底宽3.0±0.1 us（在峰值电流的0%电平处测量脉冲宽度）；脉冲前沿抖动≤5 ns（相对于外触发信号，采用示波器测量标准偏差的方式）；最大重复频率：10 pps(1-10pps连续可调)；重复稳定度：＜0.2%（p-p）（半小时测量）。</w:t>
            </w:r>
          </w:p>
          <w:p w:rsidR="002E2770" w:rsidRPr="002E2770" w:rsidRDefault="002E2770" w:rsidP="002E2770">
            <w:pP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储能电容</w:t>
            </w:r>
            <w: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: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0.033 uF/30 kV</w:t>
            </w:r>
          </w:p>
          <w:p w:rsidR="002E2770" w:rsidRPr="002E2770" w:rsidRDefault="002E2770" w:rsidP="002E2770">
            <w:pP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冲击电源放电电缆</w:t>
            </w:r>
            <w:r>
              <w:rPr>
                <w:rFonts w:ascii="宋体" w:eastAsia="宋体" w:hAnsi="宋体" w:cs="Arial"/>
                <w:color w:val="333333"/>
                <w:kern w:val="0"/>
                <w:sz w:val="24"/>
                <w:szCs w:val="24"/>
              </w:rPr>
              <w:t>: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CA11，75kV</w:t>
            </w:r>
          </w:p>
          <w:p w:rsidR="002E2770" w:rsidRPr="002E2770" w:rsidRDefault="002E2770" w:rsidP="002E2770">
            <w:pP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冲击电源充电电缆</w:t>
            </w:r>
            <w:r>
              <w:rPr>
                <w:rFonts w:ascii="宋体" w:eastAsia="宋体" w:hAnsi="宋体" w:cs="Arial"/>
                <w:color w:val="333333"/>
                <w:kern w:val="0"/>
                <w:sz w:val="24"/>
                <w:szCs w:val="24"/>
              </w:rPr>
              <w:t>: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CA11,75kV，带底座。</w:t>
            </w:r>
          </w:p>
          <w:p w:rsidR="002E2770" w:rsidRPr="002E2770" w:rsidRDefault="002E2770" w:rsidP="002E2770">
            <w:pP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监控分机</w:t>
            </w:r>
            <w:r>
              <w:rPr>
                <w:rFonts w:ascii="宋体" w:eastAsia="宋体" w:hAnsi="宋体" w:cs="Arial"/>
                <w:color w:val="333333"/>
                <w:kern w:val="0"/>
                <w:sz w:val="24"/>
                <w:szCs w:val="24"/>
              </w:rPr>
              <w:t>: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非标，冲击磁铁放电柜配套使用；继电器型故障输入（20点）、NPN型三极管输出（10点）；前面板为触摸屏。采用欧姆龙CP1H的PLC作为控制器，通讯接口为多模光接口</w:t>
            </w:r>
          </w:p>
          <w:p w:rsidR="002E2770" w:rsidRPr="002E2770" w:rsidRDefault="002E2770" w:rsidP="002E2770">
            <w:pP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配电分机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ab/>
              <w:t>非标，3U19寸标准机箱，输入为AC220V，输出7路，分别为监控分机、冲击磁铁电源1-4、切割磁铁电源、辅助设备供电。设备总功率要求10kW。</w:t>
            </w:r>
          </w:p>
          <w:p w:rsidR="002E2770" w:rsidRPr="002E2770" w:rsidRDefault="002E2770" w:rsidP="002E2770">
            <w:pP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监控电路板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ab/>
            </w:r>
            <w:r>
              <w:rPr>
                <w:rFonts w:ascii="宋体" w:eastAsia="宋体" w:hAnsi="宋体" w:cs="Arial"/>
                <w:color w:val="333333"/>
                <w:kern w:val="0"/>
                <w:sz w:val="24"/>
                <w:szCs w:val="24"/>
              </w:rPr>
              <w:t>: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非标，冲击磁铁放电柜配套使用，主要功能包括：1、将系统内的故障进行模数转换，提供给监控分机。包括：反峰故障、电源故障等。2、高精度的触发信号光电转换与延迟控制；</w:t>
            </w:r>
          </w:p>
          <w:p w:rsidR="002E2770" w:rsidRPr="002E2770" w:rsidRDefault="002E2770" w:rsidP="002E2770">
            <w:pP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氢闸流管触发器</w:t>
            </w:r>
            <w: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: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L4888闸流管配套使用</w:t>
            </w:r>
          </w:p>
          <w:p w:rsidR="002E2770" w:rsidRPr="002E2770" w:rsidRDefault="002E2770" w:rsidP="002E2770">
            <w:pP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80MW速调制器反峰组件</w:t>
            </w:r>
            <w:r>
              <w:rPr>
                <w:rFonts w:ascii="宋体" w:eastAsia="宋体" w:hAnsi="宋体" w:cs="Arial"/>
                <w:color w:val="333333"/>
                <w:kern w:val="0"/>
                <w:sz w:val="24"/>
                <w:szCs w:val="24"/>
              </w:rPr>
              <w:t>: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非标，200MW调制器配套使用，用于吸收反向功率,200MW调制器参数:400kV/500A,配合日本佳能E3712大功率微波功率源使用。</w:t>
            </w:r>
          </w:p>
          <w:p w:rsidR="002E2770" w:rsidRPr="002E2770" w:rsidRDefault="002E2770" w:rsidP="002E2770">
            <w:pP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50MW监控分机</w:t>
            </w:r>
            <w: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、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80MW监控分机</w:t>
            </w:r>
            <w:r>
              <w:rPr>
                <w:rFonts w:ascii="宋体" w:eastAsia="宋体" w:hAnsi="宋体" w:cs="Arial"/>
                <w:color w:val="333333"/>
                <w:kern w:val="0"/>
                <w:sz w:val="24"/>
                <w:szCs w:val="24"/>
              </w:rPr>
              <w:t>:</w:t>
            </w: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非标，分别与50MW和80MW配套调制器配套使用；继电器型故障输入（20点）、NPN型三极管输出（10点）；前面板为触摸屏。采用欧姆龙CP1H的PLC作为控制器，通讯接口为多模光接口</w:t>
            </w:r>
          </w:p>
          <w:p w:rsidR="00646D1B" w:rsidRPr="002E2770" w:rsidRDefault="002E2770" w:rsidP="002E2770">
            <w:pPr>
              <w:rPr>
                <w:rFonts w:ascii="宋体" w:eastAsia="宋体" w:hAnsi="宋体" w:cs="Arial"/>
                <w:color w:val="333333"/>
                <w:kern w:val="0"/>
                <w:sz w:val="24"/>
                <w:szCs w:val="24"/>
              </w:rPr>
            </w:pPr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调制器充电高压电缆</w:t>
            </w:r>
            <w: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：</w:t>
            </w:r>
            <w:bookmarkStart w:id="0" w:name="_GoBack"/>
            <w:bookmarkEnd w:id="0"/>
            <w:r w:rsidRPr="002E2770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15931020NT</w:t>
            </w:r>
          </w:p>
          <w:p w:rsidR="00D963A2" w:rsidRPr="00D963A2" w:rsidRDefault="00D963A2" w:rsidP="00D963A2">
            <w:pPr>
              <w:keepNext/>
              <w:widowControl/>
              <w:tabs>
                <w:tab w:val="left" w:pos="2490"/>
              </w:tabs>
              <w:spacing w:line="480" w:lineRule="auto"/>
              <w:ind w:rightChars="-1884" w:right="-3956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D963A2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7441ED" w:rsidRPr="007441ED" w:rsidRDefault="007441ED" w:rsidP="00D963A2">
      <w:pPr>
        <w:spacing w:line="360" w:lineRule="auto"/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5B9" w:rsidRDefault="008475B9" w:rsidP="00012EFB">
      <w:r>
        <w:separator/>
      </w:r>
    </w:p>
  </w:endnote>
  <w:endnote w:type="continuationSeparator" w:id="0">
    <w:p w:rsidR="008475B9" w:rsidRDefault="008475B9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5B9" w:rsidRDefault="008475B9" w:rsidP="00012EFB">
      <w:r>
        <w:separator/>
      </w:r>
    </w:p>
  </w:footnote>
  <w:footnote w:type="continuationSeparator" w:id="0">
    <w:p w:rsidR="008475B9" w:rsidRDefault="008475B9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65F2A"/>
    <w:rsid w:val="001668BA"/>
    <w:rsid w:val="001B3F02"/>
    <w:rsid w:val="00215D6A"/>
    <w:rsid w:val="002E2770"/>
    <w:rsid w:val="00315071"/>
    <w:rsid w:val="00351D39"/>
    <w:rsid w:val="0036461A"/>
    <w:rsid w:val="003E5D50"/>
    <w:rsid w:val="004012CB"/>
    <w:rsid w:val="005858EC"/>
    <w:rsid w:val="00595DAB"/>
    <w:rsid w:val="0062668F"/>
    <w:rsid w:val="00646D1B"/>
    <w:rsid w:val="00661C1A"/>
    <w:rsid w:val="00670B3D"/>
    <w:rsid w:val="006A5840"/>
    <w:rsid w:val="007020D1"/>
    <w:rsid w:val="0073607F"/>
    <w:rsid w:val="007441ED"/>
    <w:rsid w:val="007D7992"/>
    <w:rsid w:val="00811B08"/>
    <w:rsid w:val="008475B9"/>
    <w:rsid w:val="008A1954"/>
    <w:rsid w:val="008B0152"/>
    <w:rsid w:val="008F115F"/>
    <w:rsid w:val="00961437"/>
    <w:rsid w:val="009B5DB5"/>
    <w:rsid w:val="009C4C31"/>
    <w:rsid w:val="00AA11D9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0D085-EF1C-4EB8-B2F2-BFC40AA3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132</Words>
  <Characters>756</Characters>
  <Application>Microsoft Office Word</Application>
  <DocSecurity>0</DocSecurity>
  <Lines>6</Lines>
  <Paragraphs>1</Paragraphs>
  <ScaleCrop>false</ScaleCrop>
  <Company>P R C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2022-07-29T06:10:00Z</dcterms:created>
  <dcterms:modified xsi:type="dcterms:W3CDTF">2023-10-13T00:53:00Z</dcterms:modified>
</cp:coreProperties>
</file>