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DC9955E">
      <w:pPr>
        <w:jc w:val="center"/>
        <w:rPr>
          <w:sz w:val="36"/>
        </w:rPr>
      </w:pPr>
      <w:r>
        <w:rPr>
          <w:sz w:val="36"/>
        </w:rPr>
        <w:t>中国科学技术大学国家同步辐射实验室</w:t>
      </w:r>
    </w:p>
    <w:p w14:paraId="0973E65B">
      <w:pPr>
        <w:jc w:val="center"/>
        <w:rPr>
          <w:sz w:val="36"/>
        </w:rPr>
      </w:pPr>
      <w:r>
        <w:rPr>
          <w:rFonts w:hint="eastAsia"/>
          <w:sz w:val="36"/>
        </w:rPr>
        <w:t>技术指标供应商确认表</w:t>
      </w:r>
    </w:p>
    <w:p w14:paraId="3E58F52B"/>
    <w:tbl>
      <w:tblPr>
        <w:tblStyle w:val="7"/>
        <w:tblW w:w="9781" w:type="dxa"/>
        <w:tblInd w:w="-57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5"/>
        <w:gridCol w:w="1422"/>
        <w:gridCol w:w="5244"/>
        <w:gridCol w:w="1418"/>
        <w:gridCol w:w="992"/>
      </w:tblGrid>
      <w:tr w14:paraId="3979FF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6" w:hRule="atLeast"/>
        </w:trPr>
        <w:tc>
          <w:tcPr>
            <w:tcW w:w="705" w:type="dxa"/>
            <w:vAlign w:val="center"/>
          </w:tcPr>
          <w:p w14:paraId="75C250BA">
            <w:pPr>
              <w:spacing w:line="240" w:lineRule="atLeast"/>
              <w:jc w:val="center"/>
              <w:rPr>
                <w:sz w:val="22"/>
              </w:rPr>
            </w:pPr>
            <w:r>
              <w:rPr>
                <w:rFonts w:hint="eastAsia"/>
                <w:sz w:val="22"/>
              </w:rPr>
              <w:t>序号</w:t>
            </w:r>
          </w:p>
        </w:tc>
        <w:tc>
          <w:tcPr>
            <w:tcW w:w="1422" w:type="dxa"/>
            <w:vAlign w:val="center"/>
          </w:tcPr>
          <w:p w14:paraId="3A9FF52B">
            <w:pPr>
              <w:spacing w:line="240" w:lineRule="atLeast"/>
              <w:jc w:val="center"/>
              <w:rPr>
                <w:sz w:val="22"/>
              </w:rPr>
            </w:pPr>
            <w:r>
              <w:rPr>
                <w:rFonts w:hint="eastAsia"/>
                <w:sz w:val="22"/>
              </w:rPr>
              <w:t>名称</w:t>
            </w:r>
          </w:p>
        </w:tc>
        <w:tc>
          <w:tcPr>
            <w:tcW w:w="5244" w:type="dxa"/>
            <w:vAlign w:val="center"/>
          </w:tcPr>
          <w:p w14:paraId="258D475E">
            <w:pPr>
              <w:spacing w:line="240" w:lineRule="atLeast"/>
              <w:jc w:val="center"/>
              <w:rPr>
                <w:sz w:val="22"/>
              </w:rPr>
            </w:pPr>
            <w:r>
              <w:rPr>
                <w:rFonts w:hint="eastAsia"/>
                <w:sz w:val="22"/>
              </w:rPr>
              <w:t>技术指标</w:t>
            </w:r>
          </w:p>
        </w:tc>
        <w:tc>
          <w:tcPr>
            <w:tcW w:w="1418" w:type="dxa"/>
            <w:vAlign w:val="center"/>
          </w:tcPr>
          <w:p w14:paraId="37F7A556">
            <w:pPr>
              <w:spacing w:line="240" w:lineRule="atLeast"/>
              <w:jc w:val="center"/>
              <w:rPr>
                <w:szCs w:val="21"/>
              </w:rPr>
            </w:pPr>
            <w:r>
              <w:rPr>
                <w:rFonts w:hint="eastAsia"/>
                <w:szCs w:val="21"/>
              </w:rPr>
              <w:t>偏离说明</w:t>
            </w:r>
          </w:p>
          <w:p w14:paraId="328E92F5">
            <w:pPr>
              <w:spacing w:line="240" w:lineRule="atLeast"/>
              <w:jc w:val="center"/>
              <w:rPr>
                <w:sz w:val="24"/>
              </w:rPr>
            </w:pPr>
            <w:r>
              <w:rPr>
                <w:rFonts w:hint="eastAsia"/>
                <w:szCs w:val="21"/>
              </w:rPr>
              <w:t>(</w:t>
            </w:r>
            <w:r>
              <w:rPr>
                <w:szCs w:val="21"/>
              </w:rPr>
              <w:t>无偏离</w:t>
            </w:r>
            <w:r>
              <w:rPr>
                <w:rFonts w:hint="eastAsia"/>
                <w:szCs w:val="21"/>
              </w:rPr>
              <w:t>/</w:t>
            </w:r>
            <w:r>
              <w:rPr>
                <w:szCs w:val="21"/>
              </w:rPr>
              <w:t>正偏离</w:t>
            </w:r>
            <w:r>
              <w:rPr>
                <w:rFonts w:hint="eastAsia"/>
                <w:szCs w:val="21"/>
              </w:rPr>
              <w:t>/</w:t>
            </w:r>
            <w:r>
              <w:rPr>
                <w:szCs w:val="21"/>
              </w:rPr>
              <w:t>负偏离</w:t>
            </w:r>
            <w:r>
              <w:rPr>
                <w:rFonts w:hint="eastAsia"/>
                <w:szCs w:val="21"/>
              </w:rPr>
              <w:t>)</w:t>
            </w:r>
          </w:p>
        </w:tc>
        <w:tc>
          <w:tcPr>
            <w:tcW w:w="992" w:type="dxa"/>
            <w:vAlign w:val="center"/>
          </w:tcPr>
          <w:p w14:paraId="22A89C1E">
            <w:pPr>
              <w:spacing w:line="240" w:lineRule="atLeast"/>
              <w:jc w:val="center"/>
              <w:rPr>
                <w:sz w:val="24"/>
              </w:rPr>
            </w:pPr>
            <w:r>
              <w:rPr>
                <w:rFonts w:hint="eastAsia"/>
                <w:sz w:val="22"/>
              </w:rPr>
              <w:t>偏离值</w:t>
            </w:r>
          </w:p>
        </w:tc>
      </w:tr>
      <w:tr w14:paraId="394384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33" w:hRule="atLeast"/>
        </w:trPr>
        <w:tc>
          <w:tcPr>
            <w:tcW w:w="705" w:type="dxa"/>
            <w:vAlign w:val="center"/>
          </w:tcPr>
          <w:p w14:paraId="185CA09D">
            <w:pPr>
              <w:spacing w:line="240" w:lineRule="atLeast"/>
              <w:jc w:val="center"/>
            </w:pPr>
            <w:r>
              <w:rPr>
                <w:rFonts w:hint="eastAsia"/>
              </w:rPr>
              <w:t>1</w:t>
            </w:r>
          </w:p>
        </w:tc>
        <w:tc>
          <w:tcPr>
            <w:tcW w:w="1422" w:type="dxa"/>
            <w:tcBorders>
              <w:bottom w:val="single" w:color="auto" w:sz="4" w:space="0"/>
            </w:tcBorders>
            <w:shd w:val="clear" w:color="auto" w:fill="auto"/>
            <w:vAlign w:val="center"/>
          </w:tcPr>
          <w:p w14:paraId="110FD52C">
            <w:pPr>
              <w:widowControl/>
              <w:spacing w:line="240" w:lineRule="atLeast"/>
              <w:jc w:val="center"/>
              <w:rPr>
                <w:rFonts w:ascii="Times New Roman" w:hAnsi="Times New Roman" w:eastAsia="宋体" w:cs="Times New Roman"/>
                <w:szCs w:val="24"/>
              </w:rPr>
            </w:pPr>
            <w:r>
              <w:rPr>
                <w:rFonts w:hint="eastAsia" w:ascii="Arial" w:hAnsi="Arial" w:eastAsia="宋体" w:cs="Arial"/>
                <w:b w:val="0"/>
                <w:bCs w:val="0"/>
                <w:szCs w:val="21"/>
                <w:shd w:val="clear" w:color="auto" w:fill="FFFFFF"/>
              </w:rPr>
              <w:t>软X光干涉仪亚纳米驱动及检测系统</w:t>
            </w:r>
          </w:p>
        </w:tc>
        <w:tc>
          <w:tcPr>
            <w:tcW w:w="5244" w:type="dxa"/>
            <w:tcBorders>
              <w:bottom w:val="single" w:color="auto" w:sz="4" w:space="0"/>
            </w:tcBorders>
            <w:shd w:val="clear" w:color="auto" w:fill="auto"/>
            <w:vAlign w:val="center"/>
          </w:tcPr>
          <w:p w14:paraId="4EA9525F">
            <w:pPr>
              <w:widowControl/>
              <w:spacing w:line="240" w:lineRule="auto"/>
              <w:ind w:firstLine="420"/>
              <w:jc w:val="left"/>
              <w:rPr>
                <w:kern w:val="0"/>
                <w:szCs w:val="21"/>
              </w:rPr>
            </w:pPr>
            <w:r>
              <w:rPr>
                <w:rFonts w:hint="eastAsia"/>
                <w:kern w:val="0"/>
                <w:szCs w:val="21"/>
              </w:rPr>
              <w:t>本次拟采购软X光干涉仪亚纳米驱动及检测系统，用于实现软X光干涉仪四块反射镜在真空内双镜组件精细扫描和角度姿态精密调节，系统原理示意图见图</w:t>
            </w:r>
            <w:r>
              <w:rPr>
                <w:kern w:val="0"/>
                <w:szCs w:val="21"/>
              </w:rPr>
              <w:t>1</w:t>
            </w:r>
            <w:r>
              <w:rPr>
                <w:rFonts w:hint="eastAsia"/>
                <w:kern w:val="0"/>
                <w:szCs w:val="21"/>
              </w:rPr>
              <w:t>。</w:t>
            </w:r>
          </w:p>
          <w:p w14:paraId="50C9EDD6">
            <w:pPr>
              <w:widowControl/>
              <w:numPr>
                <w:ilvl w:val="255"/>
                <w:numId w:val="0"/>
              </w:numPr>
              <w:spacing w:before="156" w:beforeLines="50" w:line="240" w:lineRule="auto"/>
              <w:ind w:left="419"/>
              <w:jc w:val="left"/>
              <w:rPr>
                <w:kern w:val="0"/>
                <w:szCs w:val="21"/>
              </w:rPr>
            </w:pPr>
            <w:r>
              <w:rPr>
                <w:rFonts w:hint="eastAsia"/>
                <w:kern w:val="0"/>
                <w:szCs w:val="21"/>
              </w:rPr>
              <w:t>该系统需要实现：</w:t>
            </w:r>
          </w:p>
          <w:p w14:paraId="6DB61716">
            <w:pPr>
              <w:widowControl/>
              <w:numPr>
                <w:ilvl w:val="0"/>
                <w:numId w:val="1"/>
              </w:numPr>
              <w:spacing w:before="93" w:beforeLines="30" w:line="240" w:lineRule="auto"/>
              <w:ind w:left="782" w:hanging="363"/>
              <w:jc w:val="left"/>
              <w:rPr>
                <w:kern w:val="0"/>
                <w:szCs w:val="21"/>
              </w:rPr>
            </w:pPr>
            <w:r>
              <w:rPr>
                <w:kern w:val="0"/>
                <w:szCs w:val="21"/>
              </w:rPr>
              <w:t>双镜组件D1&amp;D2整体小行程精密扫描、偏摆校正与反馈。扫描分辨率优于1 nm，行程10 μm，稳定性优于1 nm（rms，30s内）。偏摆校正角度调节分辨率优于100 nrad，行程±25 μrad，稳定性优于100 nrad（rms，30s内）；</w:t>
            </w:r>
          </w:p>
          <w:p w14:paraId="7DA099DB">
            <w:pPr>
              <w:widowControl/>
              <w:numPr>
                <w:ilvl w:val="0"/>
                <w:numId w:val="1"/>
              </w:numPr>
              <w:spacing w:before="93" w:beforeLines="30" w:line="240" w:lineRule="auto"/>
              <w:ind w:left="782" w:hanging="363"/>
              <w:jc w:val="left"/>
              <w:rPr>
                <w:kern w:val="0"/>
                <w:szCs w:val="21"/>
              </w:rPr>
            </w:pPr>
            <w:r>
              <w:rPr>
                <w:kern w:val="0"/>
                <w:szCs w:val="21"/>
              </w:rPr>
              <w:t>系统整体工作于1E-7 Pa真空。</w:t>
            </w:r>
          </w:p>
          <w:p w14:paraId="153B51EF">
            <w:pPr>
              <w:spacing w:line="240" w:lineRule="auto"/>
              <w:jc w:val="center"/>
            </w:pPr>
            <w:r>
              <w:drawing>
                <wp:inline distT="0" distB="0" distL="114300" distR="114300">
                  <wp:extent cx="3936365" cy="2087880"/>
                  <wp:effectExtent l="0" t="0" r="6985" b="7620"/>
                  <wp:docPr id="1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
                          <pic:cNvPicPr>
                            <a:picLocks noChangeAspect="1"/>
                          </pic:cNvPicPr>
                        </pic:nvPicPr>
                        <pic:blipFill>
                          <a:blip r:embed="rId4"/>
                          <a:stretch>
                            <a:fillRect/>
                          </a:stretch>
                        </pic:blipFill>
                        <pic:spPr>
                          <a:xfrm>
                            <a:off x="0" y="0"/>
                            <a:ext cx="3936365" cy="2087880"/>
                          </a:xfrm>
                          <a:prstGeom prst="rect">
                            <a:avLst/>
                          </a:prstGeom>
                          <a:noFill/>
                          <a:ln>
                            <a:noFill/>
                          </a:ln>
                        </pic:spPr>
                      </pic:pic>
                    </a:graphicData>
                  </a:graphic>
                </wp:inline>
              </w:drawing>
            </w:r>
          </w:p>
          <w:p w14:paraId="1FC2FC8B">
            <w:pPr>
              <w:spacing w:line="240" w:lineRule="auto"/>
              <w:jc w:val="center"/>
              <w:rPr>
                <w:kern w:val="0"/>
                <w:szCs w:val="21"/>
              </w:rPr>
            </w:pPr>
            <w:r>
              <w:rPr>
                <w:rFonts w:hint="eastAsia" w:eastAsia="新宋体"/>
              </w:rPr>
              <w:t>图1</w:t>
            </w:r>
            <w:r>
              <w:rPr>
                <w:rFonts w:eastAsia="新宋体"/>
              </w:rPr>
              <w:t xml:space="preserve"> </w:t>
            </w:r>
            <w:r>
              <w:rPr>
                <w:rFonts w:hint="eastAsia" w:eastAsia="新宋体"/>
              </w:rPr>
              <w:t>软X光干涉仪原理示意图</w:t>
            </w:r>
          </w:p>
          <w:p w14:paraId="165F1540">
            <w:pPr>
              <w:widowControl/>
              <w:spacing w:line="240" w:lineRule="auto"/>
              <w:ind w:firstLine="420"/>
              <w:jc w:val="left"/>
              <w:rPr>
                <w:rFonts w:eastAsia="新宋体"/>
                <w:szCs w:val="21"/>
              </w:rPr>
            </w:pPr>
            <w:r>
              <w:rPr>
                <w:rFonts w:hint="eastAsia"/>
                <w:kern w:val="0"/>
                <w:szCs w:val="21"/>
              </w:rPr>
              <w:t>对于D1&amp;D2</w:t>
            </w:r>
            <w:r>
              <w:rPr>
                <w:kern w:val="0"/>
                <w:szCs w:val="21"/>
              </w:rPr>
              <w:t>整体</w:t>
            </w:r>
            <w:r>
              <w:rPr>
                <w:rFonts w:hint="eastAsia"/>
                <w:kern w:val="0"/>
                <w:szCs w:val="21"/>
              </w:rPr>
              <w:t>小行程</w:t>
            </w:r>
            <w:r>
              <w:rPr>
                <w:kern w:val="0"/>
                <w:szCs w:val="21"/>
              </w:rPr>
              <w:t>精密扫描</w:t>
            </w:r>
            <w:r>
              <w:rPr>
                <w:rFonts w:hint="eastAsia"/>
                <w:kern w:val="0"/>
                <w:szCs w:val="21"/>
              </w:rPr>
              <w:t>、偏摆校正需求，所需亚纳米驱动及检测系统需实现D1&amp;D2</w:t>
            </w:r>
            <w:r>
              <w:rPr>
                <w:kern w:val="0"/>
                <w:szCs w:val="21"/>
              </w:rPr>
              <w:t>整体</w:t>
            </w:r>
            <w:r>
              <w:rPr>
                <w:rFonts w:hint="eastAsia"/>
                <w:kern w:val="0"/>
                <w:szCs w:val="21"/>
              </w:rPr>
              <w:t>前进与后退扫描；D1&amp;D2</w:t>
            </w:r>
            <w:r>
              <w:rPr>
                <w:kern w:val="0"/>
                <w:szCs w:val="21"/>
              </w:rPr>
              <w:t>整体</w:t>
            </w:r>
            <w:r>
              <w:rPr>
                <w:rFonts w:hint="eastAsia"/>
                <w:kern w:val="0"/>
                <w:szCs w:val="21"/>
              </w:rPr>
              <w:t>Pitch偏摆(Rx)误差校正；</w:t>
            </w:r>
            <w:r>
              <w:rPr>
                <w:kern w:val="0"/>
                <w:szCs w:val="21"/>
              </w:rPr>
              <w:t>集成高分辨电容传感器进行闭环控制</w:t>
            </w:r>
            <w:r>
              <w:rPr>
                <w:rFonts w:hint="eastAsia"/>
                <w:kern w:val="0"/>
                <w:szCs w:val="21"/>
              </w:rPr>
              <w:t>。亚纳米驱动及检测系统的整体尺寸、运动台面尺寸、负载和真空度提出要求。</w:t>
            </w:r>
            <w:r>
              <w:rPr>
                <w:rFonts w:hint="eastAsia" w:eastAsia="新宋体"/>
              </w:rPr>
              <w:t>详细参数要求见表1。</w:t>
            </w:r>
          </w:p>
          <w:p w14:paraId="58BEE6EE">
            <w:pPr>
              <w:pStyle w:val="2"/>
              <w:spacing w:line="240" w:lineRule="auto"/>
              <w:jc w:val="center"/>
              <w:rPr>
                <w:rFonts w:ascii="Times New Roman" w:hAnsi="Times New Roman" w:cs="Times New Roman"/>
                <w:sz w:val="21"/>
                <w:szCs w:val="21"/>
              </w:rPr>
            </w:pPr>
            <w:r>
              <w:rPr>
                <w:sz w:val="21"/>
                <w:szCs w:val="21"/>
              </w:rPr>
              <w:t xml:space="preserve">表 </w:t>
            </w:r>
            <w:r>
              <w:rPr>
                <w:rFonts w:hint="eastAsia"/>
                <w:sz w:val="21"/>
                <w:szCs w:val="21"/>
              </w:rPr>
              <w:t xml:space="preserve">1 </w:t>
            </w:r>
            <w:r>
              <w:rPr>
                <w:rFonts w:hint="eastAsia"/>
                <w:kern w:val="0"/>
                <w:sz w:val="21"/>
                <w:szCs w:val="21"/>
              </w:rPr>
              <w:t>亚纳米驱动及检测系统技术指标</w:t>
            </w:r>
          </w:p>
          <w:tbl>
            <w:tblPr>
              <w:tblStyle w:val="7"/>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21"/>
              <w:gridCol w:w="643"/>
              <w:gridCol w:w="903"/>
              <w:gridCol w:w="822"/>
              <w:gridCol w:w="828"/>
            </w:tblGrid>
            <w:tr w14:paraId="607123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815" w:type="pct"/>
                  <w:vAlign w:val="center"/>
                </w:tcPr>
                <w:p w14:paraId="2EAE1885">
                  <w:pPr>
                    <w:spacing w:line="240" w:lineRule="auto"/>
                    <w:jc w:val="center"/>
                    <w:rPr>
                      <w:rFonts w:eastAsia="新宋体"/>
                      <w:kern w:val="0"/>
                      <w:sz w:val="20"/>
                      <w:szCs w:val="21"/>
                    </w:rPr>
                  </w:pPr>
                  <w:r>
                    <w:rPr>
                      <w:rFonts w:hint="eastAsia" w:eastAsia="新宋体"/>
                      <w:kern w:val="0"/>
                      <w:sz w:val="20"/>
                      <w:szCs w:val="21"/>
                    </w:rPr>
                    <w:t>指标</w:t>
                  </w:r>
                </w:p>
              </w:tc>
              <w:tc>
                <w:tcPr>
                  <w:tcW w:w="640" w:type="pct"/>
                  <w:vAlign w:val="center"/>
                </w:tcPr>
                <w:p w14:paraId="67EF7AE9">
                  <w:pPr>
                    <w:spacing w:line="240" w:lineRule="auto"/>
                    <w:jc w:val="center"/>
                    <w:rPr>
                      <w:rFonts w:eastAsia="新宋体"/>
                      <w:kern w:val="24"/>
                      <w:sz w:val="20"/>
                      <w:szCs w:val="21"/>
                    </w:rPr>
                  </w:pPr>
                  <w:r>
                    <w:rPr>
                      <w:rFonts w:eastAsia="新宋体"/>
                      <w:kern w:val="24"/>
                      <w:sz w:val="20"/>
                      <w:szCs w:val="21"/>
                    </w:rPr>
                    <w:t>行程</w:t>
                  </w:r>
                </w:p>
              </w:tc>
              <w:tc>
                <w:tcPr>
                  <w:tcW w:w="900" w:type="pct"/>
                  <w:vAlign w:val="center"/>
                </w:tcPr>
                <w:p w14:paraId="694B1941">
                  <w:pPr>
                    <w:spacing w:line="240" w:lineRule="auto"/>
                    <w:jc w:val="center"/>
                    <w:rPr>
                      <w:rFonts w:eastAsia="新宋体"/>
                      <w:kern w:val="24"/>
                      <w:sz w:val="20"/>
                      <w:szCs w:val="21"/>
                    </w:rPr>
                  </w:pPr>
                  <w:r>
                    <w:rPr>
                      <w:rFonts w:hint="eastAsia" w:eastAsia="新宋体"/>
                      <w:kern w:val="24"/>
                      <w:sz w:val="20"/>
                      <w:szCs w:val="21"/>
                    </w:rPr>
                    <w:t>最小调节步长</w:t>
                  </w:r>
                </w:p>
              </w:tc>
              <w:tc>
                <w:tcPr>
                  <w:tcW w:w="819" w:type="pct"/>
                  <w:vAlign w:val="center"/>
                </w:tcPr>
                <w:p w14:paraId="0114BFF0">
                  <w:pPr>
                    <w:spacing w:line="240" w:lineRule="auto"/>
                    <w:jc w:val="center"/>
                    <w:rPr>
                      <w:rFonts w:eastAsia="新宋体"/>
                      <w:kern w:val="24"/>
                      <w:sz w:val="20"/>
                      <w:szCs w:val="21"/>
                    </w:rPr>
                  </w:pPr>
                  <w:r>
                    <w:rPr>
                      <w:rFonts w:eastAsia="新宋体"/>
                      <w:kern w:val="24"/>
                      <w:sz w:val="20"/>
                      <w:szCs w:val="21"/>
                    </w:rPr>
                    <w:t>重复性</w:t>
                  </w:r>
                </w:p>
              </w:tc>
              <w:tc>
                <w:tcPr>
                  <w:tcW w:w="823" w:type="pct"/>
                  <w:vAlign w:val="center"/>
                </w:tcPr>
                <w:p w14:paraId="14140E31">
                  <w:pPr>
                    <w:spacing w:line="240" w:lineRule="auto"/>
                    <w:jc w:val="center"/>
                    <w:rPr>
                      <w:rFonts w:eastAsia="新宋体"/>
                      <w:kern w:val="24"/>
                      <w:sz w:val="20"/>
                      <w:szCs w:val="21"/>
                    </w:rPr>
                  </w:pPr>
                  <w:r>
                    <w:rPr>
                      <w:rFonts w:eastAsia="新宋体"/>
                      <w:kern w:val="24"/>
                      <w:sz w:val="20"/>
                      <w:szCs w:val="21"/>
                    </w:rPr>
                    <w:t>稳定性</w:t>
                  </w:r>
                </w:p>
              </w:tc>
            </w:tr>
            <w:tr w14:paraId="38D3CF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815" w:type="pct"/>
                  <w:vAlign w:val="center"/>
                </w:tcPr>
                <w:p w14:paraId="6F6CBA15">
                  <w:pPr>
                    <w:spacing w:line="240" w:lineRule="auto"/>
                    <w:jc w:val="center"/>
                    <w:rPr>
                      <w:rFonts w:eastAsia="新宋体"/>
                      <w:kern w:val="0"/>
                      <w:sz w:val="20"/>
                      <w:szCs w:val="21"/>
                    </w:rPr>
                  </w:pPr>
                  <w:r>
                    <w:rPr>
                      <w:rFonts w:hint="eastAsia" w:eastAsia="新宋体"/>
                      <w:kern w:val="24"/>
                      <w:sz w:val="20"/>
                      <w:szCs w:val="21"/>
                    </w:rPr>
                    <w:t>X调节</w:t>
                  </w:r>
                </w:p>
              </w:tc>
              <w:tc>
                <w:tcPr>
                  <w:tcW w:w="640" w:type="pct"/>
                  <w:vAlign w:val="center"/>
                </w:tcPr>
                <w:p w14:paraId="392BBD74">
                  <w:pPr>
                    <w:spacing w:line="240" w:lineRule="auto"/>
                    <w:jc w:val="center"/>
                    <w:rPr>
                      <w:rFonts w:eastAsia="新宋体"/>
                      <w:kern w:val="0"/>
                      <w:sz w:val="20"/>
                      <w:szCs w:val="21"/>
                    </w:rPr>
                  </w:pPr>
                  <w:r>
                    <w:rPr>
                      <w:rFonts w:hint="eastAsia" w:eastAsia="新宋体"/>
                      <w:kern w:val="24"/>
                      <w:sz w:val="20"/>
                      <w:szCs w:val="21"/>
                    </w:rPr>
                    <w:t>10</w:t>
                  </w:r>
                  <w:r>
                    <w:rPr>
                      <w:rFonts w:eastAsia="新宋体"/>
                      <w:kern w:val="24"/>
                      <w:sz w:val="20"/>
                      <w:szCs w:val="21"/>
                    </w:rPr>
                    <w:t xml:space="preserve"> μ</w:t>
                  </w:r>
                  <w:r>
                    <w:rPr>
                      <w:rFonts w:hint="eastAsia" w:eastAsia="新宋体"/>
                      <w:kern w:val="24"/>
                      <w:sz w:val="20"/>
                      <w:szCs w:val="21"/>
                    </w:rPr>
                    <w:t>m</w:t>
                  </w:r>
                </w:p>
              </w:tc>
              <w:tc>
                <w:tcPr>
                  <w:tcW w:w="900" w:type="pct"/>
                  <w:vAlign w:val="center"/>
                </w:tcPr>
                <w:p w14:paraId="5E0FCE80">
                  <w:pPr>
                    <w:spacing w:line="240" w:lineRule="auto"/>
                    <w:jc w:val="center"/>
                    <w:rPr>
                      <w:rFonts w:eastAsia="新宋体"/>
                      <w:kern w:val="0"/>
                      <w:sz w:val="20"/>
                      <w:szCs w:val="21"/>
                    </w:rPr>
                  </w:pPr>
                  <w:r>
                    <w:rPr>
                      <w:rFonts w:eastAsia="新宋体"/>
                      <w:kern w:val="24"/>
                      <w:sz w:val="20"/>
                      <w:szCs w:val="21"/>
                    </w:rPr>
                    <w:t>1 nm</w:t>
                  </w:r>
                </w:p>
              </w:tc>
              <w:tc>
                <w:tcPr>
                  <w:tcW w:w="819" w:type="pct"/>
                  <w:vAlign w:val="center"/>
                </w:tcPr>
                <w:p w14:paraId="1F71E9A8">
                  <w:pPr>
                    <w:spacing w:line="240" w:lineRule="auto"/>
                    <w:jc w:val="center"/>
                    <w:rPr>
                      <w:rFonts w:eastAsia="新宋体"/>
                      <w:kern w:val="0"/>
                      <w:sz w:val="20"/>
                      <w:szCs w:val="21"/>
                    </w:rPr>
                  </w:pPr>
                  <w:r>
                    <w:rPr>
                      <w:rFonts w:eastAsia="新宋体"/>
                      <w:kern w:val="24"/>
                      <w:sz w:val="20"/>
                      <w:szCs w:val="21"/>
                    </w:rPr>
                    <w:t>5 nm</w:t>
                  </w:r>
                  <w:r>
                    <w:rPr>
                      <w:rFonts w:hint="eastAsia" w:eastAsia="新宋体"/>
                      <w:kern w:val="24"/>
                      <w:sz w:val="20"/>
                      <w:szCs w:val="21"/>
                    </w:rPr>
                    <w:t>(rms)</w:t>
                  </w:r>
                </w:p>
              </w:tc>
              <w:tc>
                <w:tcPr>
                  <w:tcW w:w="823" w:type="pct"/>
                  <w:vAlign w:val="center"/>
                </w:tcPr>
                <w:p w14:paraId="701D8DBF">
                  <w:pPr>
                    <w:spacing w:line="240" w:lineRule="auto"/>
                    <w:jc w:val="center"/>
                    <w:rPr>
                      <w:rFonts w:eastAsia="新宋体"/>
                      <w:kern w:val="0"/>
                      <w:sz w:val="20"/>
                      <w:szCs w:val="21"/>
                    </w:rPr>
                  </w:pPr>
                  <w:r>
                    <w:rPr>
                      <w:rFonts w:eastAsia="新宋体"/>
                      <w:kern w:val="24"/>
                      <w:sz w:val="20"/>
                      <w:szCs w:val="21"/>
                    </w:rPr>
                    <w:t>1 nm</w:t>
                  </w:r>
                  <w:r>
                    <w:rPr>
                      <w:rFonts w:hint="eastAsia" w:eastAsia="新宋体"/>
                      <w:kern w:val="24"/>
                      <w:sz w:val="20"/>
                      <w:szCs w:val="21"/>
                    </w:rPr>
                    <w:t>(rms)</w:t>
                  </w:r>
                </w:p>
              </w:tc>
            </w:tr>
            <w:tr w14:paraId="7C4B8C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815" w:type="pct"/>
                  <w:vAlign w:val="center"/>
                </w:tcPr>
                <w:p w14:paraId="30D2D9EB">
                  <w:pPr>
                    <w:spacing w:line="240" w:lineRule="auto"/>
                    <w:jc w:val="center"/>
                    <w:rPr>
                      <w:rFonts w:eastAsia="新宋体"/>
                      <w:kern w:val="0"/>
                      <w:sz w:val="20"/>
                      <w:szCs w:val="21"/>
                    </w:rPr>
                  </w:pPr>
                  <w:r>
                    <w:rPr>
                      <w:rFonts w:eastAsia="新宋体"/>
                      <w:kern w:val="24"/>
                      <w:sz w:val="20"/>
                      <w:szCs w:val="21"/>
                    </w:rPr>
                    <w:t>Pitch</w:t>
                  </w:r>
                  <w:r>
                    <w:rPr>
                      <w:rFonts w:hint="eastAsia" w:eastAsia="新宋体"/>
                      <w:kern w:val="24"/>
                      <w:sz w:val="20"/>
                      <w:szCs w:val="21"/>
                    </w:rPr>
                    <w:t xml:space="preserve"> (Ry)调节</w:t>
                  </w:r>
                </w:p>
              </w:tc>
              <w:tc>
                <w:tcPr>
                  <w:tcW w:w="640" w:type="pct"/>
                  <w:vAlign w:val="center"/>
                </w:tcPr>
                <w:p w14:paraId="23FEDD72">
                  <w:pPr>
                    <w:spacing w:line="240" w:lineRule="auto"/>
                    <w:jc w:val="center"/>
                    <w:rPr>
                      <w:rFonts w:eastAsia="新宋体"/>
                      <w:kern w:val="0"/>
                      <w:sz w:val="20"/>
                      <w:szCs w:val="21"/>
                    </w:rPr>
                  </w:pPr>
                  <w:r>
                    <w:rPr>
                      <w:rFonts w:eastAsia="新宋体"/>
                      <w:kern w:val="24"/>
                      <w:sz w:val="20"/>
                      <w:szCs w:val="21"/>
                    </w:rPr>
                    <w:t>60 μrad</w:t>
                  </w:r>
                </w:p>
              </w:tc>
              <w:tc>
                <w:tcPr>
                  <w:tcW w:w="900" w:type="pct"/>
                  <w:vAlign w:val="center"/>
                </w:tcPr>
                <w:p w14:paraId="0382266D">
                  <w:pPr>
                    <w:spacing w:line="240" w:lineRule="auto"/>
                    <w:jc w:val="center"/>
                    <w:rPr>
                      <w:rFonts w:eastAsia="新宋体"/>
                      <w:kern w:val="0"/>
                      <w:sz w:val="20"/>
                      <w:szCs w:val="21"/>
                    </w:rPr>
                  </w:pPr>
                  <w:r>
                    <w:rPr>
                      <w:rFonts w:eastAsia="新宋体"/>
                      <w:kern w:val="24"/>
                      <w:sz w:val="20"/>
                      <w:szCs w:val="21"/>
                    </w:rPr>
                    <w:t>0.1 μrad</w:t>
                  </w:r>
                </w:p>
              </w:tc>
              <w:tc>
                <w:tcPr>
                  <w:tcW w:w="819" w:type="pct"/>
                  <w:vAlign w:val="center"/>
                </w:tcPr>
                <w:p w14:paraId="3308C611">
                  <w:pPr>
                    <w:spacing w:line="240" w:lineRule="auto"/>
                    <w:jc w:val="center"/>
                    <w:rPr>
                      <w:rFonts w:eastAsia="新宋体"/>
                      <w:kern w:val="0"/>
                      <w:sz w:val="20"/>
                      <w:szCs w:val="21"/>
                    </w:rPr>
                  </w:pPr>
                  <w:r>
                    <w:rPr>
                      <w:rFonts w:eastAsia="新宋体"/>
                      <w:kern w:val="24"/>
                      <w:sz w:val="20"/>
                      <w:szCs w:val="21"/>
                    </w:rPr>
                    <w:t>0.5 μrad</w:t>
                  </w:r>
                  <w:r>
                    <w:rPr>
                      <w:rFonts w:hint="eastAsia" w:eastAsia="新宋体"/>
                      <w:kern w:val="24"/>
                      <w:sz w:val="20"/>
                      <w:szCs w:val="21"/>
                    </w:rPr>
                    <w:t>(rms)</w:t>
                  </w:r>
                </w:p>
              </w:tc>
              <w:tc>
                <w:tcPr>
                  <w:tcW w:w="823" w:type="pct"/>
                  <w:vAlign w:val="center"/>
                </w:tcPr>
                <w:p w14:paraId="72A342EE">
                  <w:pPr>
                    <w:spacing w:line="240" w:lineRule="auto"/>
                    <w:jc w:val="center"/>
                    <w:rPr>
                      <w:rFonts w:eastAsia="新宋体"/>
                      <w:kern w:val="0"/>
                      <w:sz w:val="20"/>
                      <w:szCs w:val="21"/>
                    </w:rPr>
                  </w:pPr>
                  <w:r>
                    <w:rPr>
                      <w:rFonts w:eastAsia="新宋体"/>
                      <w:kern w:val="24"/>
                      <w:sz w:val="20"/>
                      <w:szCs w:val="21"/>
                    </w:rPr>
                    <w:t>0.1 μrad</w:t>
                  </w:r>
                  <w:r>
                    <w:rPr>
                      <w:rFonts w:hint="eastAsia" w:eastAsia="新宋体"/>
                      <w:kern w:val="24"/>
                      <w:sz w:val="20"/>
                      <w:szCs w:val="21"/>
                    </w:rPr>
                    <w:t>(rms)</w:t>
                  </w:r>
                </w:p>
              </w:tc>
            </w:tr>
            <w:tr w14:paraId="464965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815" w:type="pct"/>
                  <w:vAlign w:val="center"/>
                </w:tcPr>
                <w:p w14:paraId="795E2917">
                  <w:pPr>
                    <w:spacing w:line="240" w:lineRule="auto"/>
                    <w:jc w:val="center"/>
                    <w:rPr>
                      <w:rFonts w:eastAsia="新宋体"/>
                      <w:kern w:val="0"/>
                      <w:sz w:val="20"/>
                      <w:szCs w:val="21"/>
                    </w:rPr>
                  </w:pPr>
                  <w:r>
                    <w:rPr>
                      <w:rFonts w:eastAsia="新宋体"/>
                      <w:kern w:val="24"/>
                      <w:sz w:val="20"/>
                      <w:szCs w:val="21"/>
                    </w:rPr>
                    <w:t>偏摆误差</w:t>
                  </w:r>
                  <w:r>
                    <w:rPr>
                      <w:rFonts w:hint="eastAsia" w:eastAsia="新宋体"/>
                      <w:kern w:val="24"/>
                      <w:sz w:val="20"/>
                      <w:szCs w:val="21"/>
                    </w:rPr>
                    <w:t>(Ry)</w:t>
                  </w:r>
                </w:p>
              </w:tc>
              <w:tc>
                <w:tcPr>
                  <w:tcW w:w="3184" w:type="pct"/>
                  <w:gridSpan w:val="4"/>
                  <w:vAlign w:val="center"/>
                </w:tcPr>
                <w:p w14:paraId="2C5B5144">
                  <w:pPr>
                    <w:spacing w:line="240" w:lineRule="auto"/>
                    <w:jc w:val="center"/>
                    <w:rPr>
                      <w:rFonts w:eastAsia="新宋体"/>
                      <w:kern w:val="0"/>
                      <w:sz w:val="20"/>
                      <w:szCs w:val="21"/>
                    </w:rPr>
                  </w:pPr>
                  <w:r>
                    <w:rPr>
                      <w:rFonts w:eastAsia="新宋体"/>
                      <w:kern w:val="24"/>
                      <w:sz w:val="20"/>
                      <w:szCs w:val="21"/>
                    </w:rPr>
                    <w:t xml:space="preserve">10 μm全行程偏差 </w:t>
                  </w:r>
                  <w:r>
                    <w:rPr>
                      <w:rFonts w:hint="eastAsia" w:eastAsia="新宋体"/>
                      <w:kern w:val="24"/>
                      <w:sz w:val="20"/>
                      <w:szCs w:val="21"/>
                    </w:rPr>
                    <w:t>≤</w:t>
                  </w:r>
                  <w:r>
                    <w:rPr>
                      <w:rFonts w:eastAsia="新宋体"/>
                      <w:kern w:val="24"/>
                      <w:sz w:val="20"/>
                      <w:szCs w:val="21"/>
                    </w:rPr>
                    <w:t>0.5 μrad (PV)</w:t>
                  </w:r>
                </w:p>
              </w:tc>
            </w:tr>
            <w:tr w14:paraId="0F06F8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815" w:type="pct"/>
                  <w:vAlign w:val="center"/>
                </w:tcPr>
                <w:p w14:paraId="08CA0036">
                  <w:pPr>
                    <w:spacing w:line="240" w:lineRule="auto"/>
                    <w:jc w:val="center"/>
                    <w:rPr>
                      <w:rFonts w:eastAsia="新宋体"/>
                      <w:kern w:val="0"/>
                      <w:sz w:val="20"/>
                      <w:szCs w:val="21"/>
                    </w:rPr>
                  </w:pPr>
                  <w:r>
                    <w:rPr>
                      <w:rFonts w:eastAsia="新宋体"/>
                      <w:kern w:val="24"/>
                      <w:sz w:val="20"/>
                      <w:szCs w:val="21"/>
                    </w:rPr>
                    <w:t>俯仰误差</w:t>
                  </w:r>
                  <w:r>
                    <w:rPr>
                      <w:rFonts w:hint="eastAsia" w:eastAsia="新宋体"/>
                      <w:kern w:val="24"/>
                      <w:sz w:val="20"/>
                      <w:szCs w:val="21"/>
                    </w:rPr>
                    <w:t>(Rz)</w:t>
                  </w:r>
                </w:p>
              </w:tc>
              <w:tc>
                <w:tcPr>
                  <w:tcW w:w="3184" w:type="pct"/>
                  <w:gridSpan w:val="4"/>
                  <w:vAlign w:val="center"/>
                </w:tcPr>
                <w:p w14:paraId="4876C240">
                  <w:pPr>
                    <w:spacing w:line="240" w:lineRule="auto"/>
                    <w:jc w:val="center"/>
                    <w:rPr>
                      <w:rFonts w:eastAsia="新宋体"/>
                      <w:kern w:val="0"/>
                      <w:sz w:val="20"/>
                      <w:szCs w:val="21"/>
                    </w:rPr>
                  </w:pPr>
                  <w:r>
                    <w:rPr>
                      <w:rFonts w:eastAsia="新宋体"/>
                      <w:kern w:val="24"/>
                      <w:sz w:val="20"/>
                      <w:szCs w:val="21"/>
                    </w:rPr>
                    <w:t xml:space="preserve">10 μm全行程偏差 </w:t>
                  </w:r>
                  <w:r>
                    <w:rPr>
                      <w:rFonts w:hint="eastAsia" w:eastAsia="新宋体"/>
                      <w:kern w:val="24"/>
                      <w:sz w:val="20"/>
                      <w:szCs w:val="21"/>
                    </w:rPr>
                    <w:t>≤</w:t>
                  </w:r>
                  <w:r>
                    <w:rPr>
                      <w:rFonts w:eastAsia="新宋体"/>
                      <w:kern w:val="24"/>
                      <w:sz w:val="20"/>
                      <w:szCs w:val="21"/>
                    </w:rPr>
                    <w:t xml:space="preserve">10 μrad (PV) </w:t>
                  </w:r>
                </w:p>
              </w:tc>
            </w:tr>
            <w:tr w14:paraId="35E37F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815" w:type="pct"/>
                  <w:vAlign w:val="center"/>
                </w:tcPr>
                <w:p w14:paraId="197DEB9F">
                  <w:pPr>
                    <w:spacing w:line="240" w:lineRule="auto"/>
                    <w:jc w:val="center"/>
                    <w:rPr>
                      <w:rFonts w:eastAsia="新宋体"/>
                      <w:kern w:val="0"/>
                      <w:sz w:val="20"/>
                      <w:szCs w:val="21"/>
                    </w:rPr>
                  </w:pPr>
                  <w:r>
                    <w:rPr>
                      <w:rFonts w:hint="eastAsia" w:eastAsia="新宋体"/>
                      <w:kern w:val="24"/>
                      <w:sz w:val="20"/>
                      <w:szCs w:val="21"/>
                    </w:rPr>
                    <w:t>闭环</w:t>
                  </w:r>
                </w:p>
              </w:tc>
              <w:tc>
                <w:tcPr>
                  <w:tcW w:w="3184" w:type="pct"/>
                  <w:gridSpan w:val="4"/>
                  <w:vAlign w:val="center"/>
                </w:tcPr>
                <w:p w14:paraId="0EC4FB25">
                  <w:pPr>
                    <w:autoSpaceDE w:val="0"/>
                    <w:autoSpaceDN w:val="0"/>
                    <w:adjustRightInd w:val="0"/>
                    <w:spacing w:line="240" w:lineRule="auto"/>
                    <w:jc w:val="center"/>
                    <w:rPr>
                      <w:rFonts w:eastAsia="新宋体"/>
                      <w:kern w:val="24"/>
                      <w:sz w:val="20"/>
                      <w:szCs w:val="21"/>
                    </w:rPr>
                  </w:pPr>
                  <w:r>
                    <w:rPr>
                      <w:rFonts w:hint="eastAsia" w:eastAsia="新宋体"/>
                      <w:kern w:val="24"/>
                      <w:sz w:val="20"/>
                      <w:szCs w:val="21"/>
                    </w:rPr>
                    <w:t>配合电容传感器闭环，传感器分辨率优于0.5nm</w:t>
                  </w:r>
                </w:p>
              </w:tc>
            </w:tr>
            <w:tr w14:paraId="3F2189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96" w:type="dxa"/>
                </w:tcPr>
                <w:p w14:paraId="73A8C343">
                  <w:pPr>
                    <w:spacing w:line="240" w:lineRule="auto"/>
                    <w:jc w:val="center"/>
                    <w:rPr>
                      <w:rFonts w:eastAsia="新宋体"/>
                      <w:kern w:val="24"/>
                      <w:sz w:val="20"/>
                      <w:szCs w:val="21"/>
                    </w:rPr>
                  </w:pPr>
                  <w:r>
                    <w:rPr>
                      <w:rFonts w:hint="eastAsia" w:eastAsia="新宋体"/>
                      <w:kern w:val="24"/>
                      <w:sz w:val="20"/>
                      <w:szCs w:val="21"/>
                    </w:rPr>
                    <w:t>负载</w:t>
                  </w:r>
                </w:p>
              </w:tc>
              <w:tc>
                <w:tcPr>
                  <w:tcW w:w="6660" w:type="dxa"/>
                  <w:gridSpan w:val="4"/>
                </w:tcPr>
                <w:p w14:paraId="2C57CB5D">
                  <w:pPr>
                    <w:autoSpaceDE w:val="0"/>
                    <w:autoSpaceDN w:val="0"/>
                    <w:adjustRightInd w:val="0"/>
                    <w:spacing w:line="240" w:lineRule="auto"/>
                    <w:jc w:val="center"/>
                    <w:rPr>
                      <w:rFonts w:eastAsia="新宋体"/>
                      <w:kern w:val="24"/>
                      <w:sz w:val="20"/>
                      <w:szCs w:val="21"/>
                    </w:rPr>
                  </w:pPr>
                  <w:r>
                    <w:rPr>
                      <w:rFonts w:hint="eastAsia" w:eastAsia="新宋体"/>
                      <w:kern w:val="24"/>
                      <w:sz w:val="20"/>
                      <w:szCs w:val="21"/>
                    </w:rPr>
                    <w:t>≥5 kg</w:t>
                  </w:r>
                </w:p>
              </w:tc>
            </w:tr>
            <w:tr w14:paraId="0805A9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96" w:type="dxa"/>
                </w:tcPr>
                <w:p w14:paraId="04A5B240">
                  <w:pPr>
                    <w:spacing w:line="240" w:lineRule="auto"/>
                    <w:jc w:val="center"/>
                    <w:rPr>
                      <w:rFonts w:eastAsia="新宋体"/>
                      <w:kern w:val="24"/>
                      <w:sz w:val="20"/>
                      <w:szCs w:val="21"/>
                    </w:rPr>
                  </w:pPr>
                  <w:r>
                    <w:rPr>
                      <w:rFonts w:hint="eastAsia" w:eastAsia="新宋体"/>
                      <w:kern w:val="24"/>
                      <w:sz w:val="20"/>
                      <w:szCs w:val="21"/>
                    </w:rPr>
                    <w:t>运动台面尺寸</w:t>
                  </w:r>
                </w:p>
              </w:tc>
              <w:tc>
                <w:tcPr>
                  <w:tcW w:w="6660" w:type="dxa"/>
                  <w:gridSpan w:val="4"/>
                </w:tcPr>
                <w:p w14:paraId="63B3E92F">
                  <w:pPr>
                    <w:pStyle w:val="5"/>
                    <w:spacing w:before="0" w:beforeAutospacing="0" w:after="0" w:afterAutospacing="0" w:line="240" w:lineRule="auto"/>
                    <w:jc w:val="center"/>
                    <w:rPr>
                      <w:rFonts w:eastAsia="新宋体"/>
                      <w:kern w:val="24"/>
                      <w:sz w:val="20"/>
                      <w:szCs w:val="21"/>
                    </w:rPr>
                  </w:pPr>
                  <w:r>
                    <w:rPr>
                      <w:rFonts w:ascii="Times New Roman" w:hAnsi="Times New Roman" w:cs="mn-cs"/>
                      <w:color w:val="000000"/>
                      <w:kern w:val="2"/>
                      <w:sz w:val="21"/>
                      <w:szCs w:val="21"/>
                    </w:rPr>
                    <w:t>≥ 200 mm</w:t>
                  </w:r>
                  <w:r>
                    <w:rPr>
                      <w:rFonts w:hint="eastAsia" w:ascii="Times New Roman" w:cs="mn-cs"/>
                      <w:color w:val="000000"/>
                      <w:kern w:val="2"/>
                      <w:sz w:val="21"/>
                      <w:szCs w:val="21"/>
                    </w:rPr>
                    <w:t xml:space="preserve">×60 </w:t>
                  </w:r>
                  <w:r>
                    <w:rPr>
                      <w:rFonts w:ascii="Times New Roman" w:hAnsi="Times New Roman" w:cs="mn-cs"/>
                      <w:color w:val="000000"/>
                      <w:kern w:val="2"/>
                      <w:sz w:val="21"/>
                      <w:szCs w:val="21"/>
                    </w:rPr>
                    <w:t>mm</w:t>
                  </w:r>
                </w:p>
              </w:tc>
            </w:tr>
            <w:tr w14:paraId="553461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96" w:type="dxa"/>
                </w:tcPr>
                <w:p w14:paraId="5C3751C0">
                  <w:pPr>
                    <w:spacing w:line="240" w:lineRule="auto"/>
                    <w:jc w:val="center"/>
                    <w:rPr>
                      <w:rFonts w:eastAsia="新宋体"/>
                      <w:kern w:val="24"/>
                      <w:sz w:val="20"/>
                      <w:szCs w:val="21"/>
                    </w:rPr>
                  </w:pPr>
                  <w:r>
                    <w:rPr>
                      <w:rFonts w:hint="eastAsia" w:eastAsia="新宋体"/>
                      <w:kern w:val="24"/>
                      <w:sz w:val="20"/>
                      <w:szCs w:val="21"/>
                    </w:rPr>
                    <w:t>尺寸限制</w:t>
                  </w:r>
                </w:p>
              </w:tc>
              <w:tc>
                <w:tcPr>
                  <w:tcW w:w="6660" w:type="dxa"/>
                  <w:gridSpan w:val="4"/>
                </w:tcPr>
                <w:p w14:paraId="51481402">
                  <w:pPr>
                    <w:autoSpaceDE w:val="0"/>
                    <w:autoSpaceDN w:val="0"/>
                    <w:adjustRightInd w:val="0"/>
                    <w:spacing w:line="240" w:lineRule="auto"/>
                    <w:jc w:val="center"/>
                    <w:rPr>
                      <w:rFonts w:eastAsia="新宋体"/>
                      <w:kern w:val="24"/>
                      <w:sz w:val="20"/>
                      <w:szCs w:val="21"/>
                    </w:rPr>
                  </w:pPr>
                  <w:r>
                    <w:rPr>
                      <w:rFonts w:hint="eastAsia" w:eastAsia="新宋体"/>
                      <w:kern w:val="24"/>
                      <w:sz w:val="20"/>
                      <w:szCs w:val="21"/>
                    </w:rPr>
                    <w:t>整体尺寸：300mm×100mm×30mm（偏差±5%以内）</w:t>
                  </w:r>
                </w:p>
              </w:tc>
            </w:tr>
            <w:tr w14:paraId="0FCAA0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96" w:type="dxa"/>
                </w:tcPr>
                <w:p w14:paraId="5595DD9B">
                  <w:pPr>
                    <w:spacing w:line="240" w:lineRule="auto"/>
                    <w:jc w:val="center"/>
                    <w:rPr>
                      <w:rFonts w:eastAsia="新宋体"/>
                      <w:kern w:val="24"/>
                      <w:sz w:val="20"/>
                      <w:szCs w:val="21"/>
                    </w:rPr>
                  </w:pPr>
                  <w:r>
                    <w:rPr>
                      <w:rFonts w:hint="eastAsia" w:eastAsia="新宋体"/>
                      <w:kern w:val="24"/>
                      <w:sz w:val="20"/>
                      <w:szCs w:val="21"/>
                    </w:rPr>
                    <w:t>真空度</w:t>
                  </w:r>
                </w:p>
              </w:tc>
              <w:tc>
                <w:tcPr>
                  <w:tcW w:w="6660" w:type="dxa"/>
                  <w:gridSpan w:val="4"/>
                </w:tcPr>
                <w:p w14:paraId="7163769F">
                  <w:pPr>
                    <w:autoSpaceDE w:val="0"/>
                    <w:autoSpaceDN w:val="0"/>
                    <w:adjustRightInd w:val="0"/>
                    <w:spacing w:line="240" w:lineRule="auto"/>
                    <w:jc w:val="center"/>
                    <w:rPr>
                      <w:rFonts w:eastAsia="新宋体"/>
                      <w:kern w:val="24"/>
                      <w:sz w:val="20"/>
                      <w:szCs w:val="21"/>
                    </w:rPr>
                  </w:pPr>
                  <w:r>
                    <w:rPr>
                      <w:rFonts w:hint="eastAsia" w:eastAsia="新宋体"/>
                      <w:kern w:val="24"/>
                      <w:sz w:val="20"/>
                      <w:szCs w:val="21"/>
                    </w:rPr>
                    <w:t>优于10</w:t>
                  </w:r>
                  <w:r>
                    <w:rPr>
                      <w:rFonts w:hint="eastAsia" w:eastAsia="新宋体"/>
                      <w:kern w:val="24"/>
                      <w:sz w:val="20"/>
                      <w:szCs w:val="21"/>
                      <w:vertAlign w:val="superscript"/>
                    </w:rPr>
                    <w:t>-7</w:t>
                  </w:r>
                  <w:r>
                    <w:rPr>
                      <w:rFonts w:hint="eastAsia" w:eastAsia="新宋体"/>
                      <w:kern w:val="24"/>
                      <w:sz w:val="20"/>
                      <w:szCs w:val="21"/>
                    </w:rPr>
                    <w:t xml:space="preserve"> Pa</w:t>
                  </w:r>
                </w:p>
              </w:tc>
            </w:tr>
          </w:tbl>
          <w:p w14:paraId="29CD79BC">
            <w:pPr>
              <w:widowControl/>
              <w:spacing w:before="156" w:beforeLines="50" w:line="240" w:lineRule="auto"/>
              <w:ind w:firstLine="420"/>
              <w:jc w:val="left"/>
              <w:rPr>
                <w:rFonts w:ascii="Arial" w:hAnsi="Arial" w:eastAsia="宋体" w:cs="Arial"/>
                <w:szCs w:val="21"/>
                <w:shd w:val="clear" w:color="auto" w:fill="FFFFFF"/>
              </w:rPr>
            </w:pPr>
            <w:r>
              <w:rPr>
                <w:rFonts w:hint="eastAsia"/>
                <w:kern w:val="0"/>
                <w:szCs w:val="21"/>
              </w:rPr>
              <w:t>本次对所采购软X光干涉仪亚纳米驱动及检测系统进行询价，需要供应商根据表1中技术指标提供所需系统及控制器，真空内、外馈通和线缆接头等，以及配套售后服务。报价应充分考虑与满足上述需求。</w:t>
            </w:r>
          </w:p>
        </w:tc>
        <w:tc>
          <w:tcPr>
            <w:tcW w:w="1418" w:type="dxa"/>
            <w:vAlign w:val="center"/>
          </w:tcPr>
          <w:p w14:paraId="205FF5AB">
            <w:pPr>
              <w:spacing w:line="240" w:lineRule="atLeast"/>
              <w:jc w:val="center"/>
            </w:pPr>
          </w:p>
        </w:tc>
        <w:tc>
          <w:tcPr>
            <w:tcW w:w="992" w:type="dxa"/>
            <w:vAlign w:val="center"/>
          </w:tcPr>
          <w:p w14:paraId="1C60665B">
            <w:pPr>
              <w:spacing w:line="240" w:lineRule="atLeast"/>
              <w:jc w:val="center"/>
            </w:pPr>
          </w:p>
        </w:tc>
      </w:tr>
      <w:tr w14:paraId="497EA6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96" w:hRule="atLeast"/>
        </w:trPr>
        <w:tc>
          <w:tcPr>
            <w:tcW w:w="705" w:type="dxa"/>
            <w:vAlign w:val="center"/>
          </w:tcPr>
          <w:p w14:paraId="21D5CC9B">
            <w:pPr>
              <w:spacing w:line="240" w:lineRule="atLeast"/>
              <w:jc w:val="center"/>
            </w:pPr>
            <w:r>
              <w:t>2</w:t>
            </w:r>
          </w:p>
        </w:tc>
        <w:tc>
          <w:tcPr>
            <w:tcW w:w="1422" w:type="dxa"/>
            <w:tcBorders>
              <w:top w:val="single" w:color="auto" w:sz="4" w:space="0"/>
              <w:left w:val="single" w:color="auto" w:sz="4" w:space="0"/>
              <w:bottom w:val="single" w:color="auto" w:sz="4" w:space="0"/>
              <w:right w:val="single" w:color="auto" w:sz="4" w:space="0"/>
            </w:tcBorders>
            <w:shd w:val="clear" w:color="auto" w:fill="auto"/>
            <w:vAlign w:val="center"/>
          </w:tcPr>
          <w:p w14:paraId="2217188C">
            <w:pPr>
              <w:widowControl/>
              <w:spacing w:line="240" w:lineRule="atLeast"/>
              <w:jc w:val="center"/>
            </w:pPr>
            <w:r>
              <w:rPr>
                <w:rFonts w:hint="eastAsia"/>
              </w:rPr>
              <w:t>商务条款</w:t>
            </w:r>
          </w:p>
        </w:tc>
        <w:tc>
          <w:tcPr>
            <w:tcW w:w="5244" w:type="dxa"/>
            <w:tcBorders>
              <w:top w:val="single" w:color="auto" w:sz="4" w:space="0"/>
              <w:left w:val="nil"/>
              <w:bottom w:val="single" w:color="auto" w:sz="4" w:space="0"/>
              <w:right w:val="single" w:color="auto" w:sz="4" w:space="0"/>
            </w:tcBorders>
            <w:shd w:val="clear" w:color="auto" w:fill="auto"/>
            <w:vAlign w:val="center"/>
          </w:tcPr>
          <w:p w14:paraId="6DFD263D">
            <w:pPr>
              <w:tabs>
                <w:tab w:val="left" w:pos="6915"/>
              </w:tabs>
              <w:spacing w:line="240" w:lineRule="auto"/>
              <w:jc w:val="left"/>
              <w:rPr>
                <w:rFonts w:hint="eastAsia" w:eastAsiaTheme="minorEastAsia"/>
                <w:szCs w:val="21"/>
                <w:lang w:val="en-US" w:eastAsia="zh-CN"/>
              </w:rPr>
            </w:pPr>
            <w:r>
              <w:rPr>
                <w:b/>
                <w:szCs w:val="21"/>
              </w:rPr>
              <w:t>交货期</w:t>
            </w:r>
            <w:r>
              <w:rPr>
                <w:rFonts w:hint="eastAsia"/>
                <w:b/>
                <w:szCs w:val="21"/>
              </w:rPr>
              <w:t>：</w:t>
            </w:r>
            <w:r>
              <w:rPr>
                <w:rFonts w:hint="eastAsia"/>
                <w:szCs w:val="21"/>
                <w:lang w:val="en-US" w:eastAsia="zh-CN"/>
              </w:rPr>
              <w:t>合同签订后</w:t>
            </w:r>
            <w:r>
              <w:rPr>
                <w:rFonts w:hint="eastAsia"/>
                <w:szCs w:val="21"/>
              </w:rPr>
              <w:t>4个月</w:t>
            </w:r>
            <w:r>
              <w:rPr>
                <w:rFonts w:hint="eastAsia"/>
                <w:szCs w:val="21"/>
                <w:lang w:val="en-US" w:eastAsia="zh-CN"/>
              </w:rPr>
              <w:t>内</w:t>
            </w:r>
          </w:p>
          <w:p w14:paraId="3EA06FC6">
            <w:pPr>
              <w:tabs>
                <w:tab w:val="left" w:pos="6915"/>
              </w:tabs>
              <w:spacing w:line="240" w:lineRule="auto"/>
              <w:jc w:val="left"/>
              <w:rPr>
                <w:rFonts w:ascii="宋体" w:hAnsi="宋体"/>
                <w:bCs/>
                <w:szCs w:val="21"/>
              </w:rPr>
            </w:pPr>
            <w:r>
              <w:rPr>
                <w:rFonts w:hint="eastAsia" w:ascii="宋体" w:hAnsi="宋体"/>
                <w:b/>
                <w:szCs w:val="21"/>
              </w:rPr>
              <w:t>交付进度：</w:t>
            </w:r>
            <w:r>
              <w:rPr>
                <w:rFonts w:hint="eastAsia"/>
                <w:szCs w:val="21"/>
                <w:lang w:val="en-US" w:eastAsia="zh-CN"/>
              </w:rPr>
              <w:t>合同签订后</w:t>
            </w:r>
            <w:r>
              <w:rPr>
                <w:rFonts w:hint="eastAsia"/>
                <w:szCs w:val="21"/>
              </w:rPr>
              <w:t>4个月</w:t>
            </w:r>
            <w:r>
              <w:rPr>
                <w:rFonts w:hint="eastAsia"/>
                <w:szCs w:val="21"/>
                <w:lang w:val="en-US" w:eastAsia="zh-CN"/>
              </w:rPr>
              <w:t>内</w:t>
            </w:r>
            <w:r>
              <w:rPr>
                <w:rFonts w:hint="eastAsia" w:ascii="宋体" w:hAnsi="宋体"/>
                <w:bCs/>
                <w:szCs w:val="21"/>
              </w:rPr>
              <w:t>交付</w:t>
            </w:r>
          </w:p>
          <w:p w14:paraId="760614E7">
            <w:pPr>
              <w:tabs>
                <w:tab w:val="left" w:pos="6915"/>
              </w:tabs>
              <w:spacing w:line="240" w:lineRule="auto"/>
              <w:jc w:val="left"/>
              <w:rPr>
                <w:szCs w:val="21"/>
              </w:rPr>
            </w:pPr>
            <w:r>
              <w:rPr>
                <w:rFonts w:ascii="宋体" w:hAnsi="宋体"/>
                <w:b/>
                <w:szCs w:val="21"/>
              </w:rPr>
              <w:t>付款方式</w:t>
            </w:r>
            <w:r>
              <w:rPr>
                <w:rFonts w:hint="eastAsia" w:ascii="宋体" w:hAnsi="宋体"/>
                <w:b/>
                <w:szCs w:val="21"/>
              </w:rPr>
              <w:t>：</w:t>
            </w:r>
            <w:r>
              <w:rPr>
                <w:rFonts w:hint="eastAsia"/>
                <w:szCs w:val="21"/>
              </w:rPr>
              <w:t>（</w:t>
            </w:r>
            <w:r>
              <w:rPr>
                <w:szCs w:val="21"/>
              </w:rPr>
              <w:t>1</w:t>
            </w:r>
            <w:r>
              <w:rPr>
                <w:rFonts w:hint="eastAsia"/>
                <w:szCs w:val="21"/>
              </w:rPr>
              <w:t>）合同签订后，</w:t>
            </w:r>
            <w:r>
              <w:rPr>
                <w:rFonts w:hint="eastAsia"/>
                <w:szCs w:val="21"/>
                <w:lang w:eastAsia="zh-CN"/>
              </w:rPr>
              <w:t>采购人</w:t>
            </w:r>
            <w:r>
              <w:rPr>
                <w:rFonts w:hint="eastAsia"/>
                <w:szCs w:val="21"/>
              </w:rPr>
              <w:t>支付合同总价的</w:t>
            </w:r>
            <w:r>
              <w:rPr>
                <w:szCs w:val="21"/>
              </w:rPr>
              <w:t xml:space="preserve">40% </w:t>
            </w:r>
            <w:r>
              <w:rPr>
                <w:rFonts w:hint="eastAsia"/>
                <w:szCs w:val="21"/>
              </w:rPr>
              <w:t>；（</w:t>
            </w:r>
            <w:r>
              <w:rPr>
                <w:szCs w:val="21"/>
              </w:rPr>
              <w:t>2</w:t>
            </w:r>
            <w:r>
              <w:rPr>
                <w:rFonts w:hint="eastAsia"/>
                <w:szCs w:val="21"/>
              </w:rPr>
              <w:t>）在卖方现场完成预验收后，</w:t>
            </w:r>
            <w:r>
              <w:rPr>
                <w:rFonts w:hint="eastAsia"/>
                <w:szCs w:val="21"/>
                <w:lang w:eastAsia="zh-CN"/>
              </w:rPr>
              <w:t>采购人</w:t>
            </w:r>
            <w:r>
              <w:rPr>
                <w:rFonts w:hint="eastAsia"/>
                <w:szCs w:val="21"/>
              </w:rPr>
              <w:t>支付合同总价的</w:t>
            </w:r>
            <w:r>
              <w:rPr>
                <w:szCs w:val="21"/>
              </w:rPr>
              <w:t>30%</w:t>
            </w:r>
            <w:r>
              <w:rPr>
                <w:rFonts w:hint="eastAsia"/>
                <w:szCs w:val="21"/>
              </w:rPr>
              <w:t>；货到</w:t>
            </w:r>
            <w:r>
              <w:rPr>
                <w:rFonts w:hint="eastAsia"/>
                <w:szCs w:val="21"/>
                <w:lang w:eastAsia="zh-CN"/>
              </w:rPr>
              <w:t>采购人</w:t>
            </w:r>
            <w:r>
              <w:rPr>
                <w:rFonts w:hint="eastAsia"/>
                <w:szCs w:val="21"/>
              </w:rPr>
              <w:t>指定地点并且验收合格后，</w:t>
            </w:r>
            <w:r>
              <w:rPr>
                <w:rFonts w:hint="eastAsia"/>
                <w:szCs w:val="21"/>
                <w:lang w:eastAsia="zh-CN"/>
              </w:rPr>
              <w:t>采购人</w:t>
            </w:r>
            <w:r>
              <w:rPr>
                <w:rFonts w:hint="eastAsia"/>
                <w:szCs w:val="21"/>
              </w:rPr>
              <w:t>支付合同总价的</w:t>
            </w:r>
            <w:r>
              <w:rPr>
                <w:szCs w:val="21"/>
              </w:rPr>
              <w:t>30%</w:t>
            </w:r>
            <w:r>
              <w:rPr>
                <w:rFonts w:hint="eastAsia"/>
                <w:szCs w:val="21"/>
              </w:rPr>
              <w:t>。</w:t>
            </w:r>
          </w:p>
          <w:p w14:paraId="15FD0A48">
            <w:pPr>
              <w:tabs>
                <w:tab w:val="left" w:pos="6915"/>
              </w:tabs>
              <w:spacing w:line="240" w:lineRule="auto"/>
              <w:jc w:val="left"/>
              <w:rPr>
                <w:b/>
                <w:szCs w:val="21"/>
              </w:rPr>
            </w:pPr>
            <w:r>
              <w:rPr>
                <w:rFonts w:hint="eastAsia"/>
                <w:b/>
                <w:szCs w:val="21"/>
              </w:rPr>
              <w:t>验收指标及验收要求：</w:t>
            </w:r>
          </w:p>
          <w:tbl>
            <w:tblPr>
              <w:tblStyle w:val="7"/>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72"/>
              <w:gridCol w:w="669"/>
              <w:gridCol w:w="815"/>
              <w:gridCol w:w="2068"/>
              <w:gridCol w:w="693"/>
            </w:tblGrid>
            <w:tr w14:paraId="5BF887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69" w:type="pct"/>
                  <w:tcBorders>
                    <w:top w:val="single" w:color="auto" w:sz="4" w:space="0"/>
                    <w:left w:val="single" w:color="auto" w:sz="4" w:space="0"/>
                    <w:bottom w:val="single" w:color="auto" w:sz="4" w:space="0"/>
                    <w:right w:val="single" w:color="auto" w:sz="4" w:space="0"/>
                  </w:tcBorders>
                  <w:vAlign w:val="center"/>
                </w:tcPr>
                <w:p w14:paraId="5E65AF4C">
                  <w:pPr>
                    <w:spacing w:line="240" w:lineRule="auto"/>
                    <w:jc w:val="center"/>
                    <w:rPr>
                      <w:rFonts w:eastAsiaTheme="minorEastAsia"/>
                      <w:b/>
                      <w:bCs/>
                      <w:szCs w:val="22"/>
                    </w:rPr>
                  </w:pPr>
                  <w:r>
                    <w:rPr>
                      <w:b/>
                      <w:bCs/>
                    </w:rPr>
                    <w:t>位移台</w:t>
                  </w:r>
                </w:p>
              </w:tc>
              <w:tc>
                <w:tcPr>
                  <w:tcW w:w="3540" w:type="pct"/>
                  <w:gridSpan w:val="3"/>
                  <w:tcBorders>
                    <w:top w:val="single" w:color="auto" w:sz="4" w:space="0"/>
                    <w:left w:val="single" w:color="auto" w:sz="4" w:space="0"/>
                    <w:bottom w:val="single" w:color="auto" w:sz="4" w:space="0"/>
                    <w:right w:val="single" w:color="auto" w:sz="4" w:space="0"/>
                  </w:tcBorders>
                  <w:vAlign w:val="center"/>
                </w:tcPr>
                <w:p w14:paraId="7E02DD08">
                  <w:pPr>
                    <w:spacing w:line="240" w:lineRule="auto"/>
                    <w:jc w:val="center"/>
                    <w:rPr>
                      <w:b/>
                      <w:bCs/>
                    </w:rPr>
                  </w:pPr>
                  <w:r>
                    <w:rPr>
                      <w:b/>
                      <w:bCs/>
                    </w:rPr>
                    <w:t>技术指标</w:t>
                  </w:r>
                </w:p>
              </w:tc>
              <w:tc>
                <w:tcPr>
                  <w:tcW w:w="691" w:type="pct"/>
                  <w:tcBorders>
                    <w:top w:val="single" w:color="auto" w:sz="4" w:space="0"/>
                    <w:left w:val="single" w:color="auto" w:sz="4" w:space="0"/>
                    <w:bottom w:val="single" w:color="auto" w:sz="4" w:space="0"/>
                    <w:right w:val="single" w:color="auto" w:sz="4" w:space="0"/>
                  </w:tcBorders>
                  <w:vAlign w:val="center"/>
                </w:tcPr>
                <w:p w14:paraId="7CF19BF2">
                  <w:pPr>
                    <w:spacing w:line="240" w:lineRule="auto"/>
                    <w:jc w:val="center"/>
                    <w:rPr>
                      <w:b/>
                      <w:bCs/>
                    </w:rPr>
                  </w:pPr>
                  <w:r>
                    <w:rPr>
                      <w:b/>
                      <w:bCs/>
                    </w:rPr>
                    <w:t>是否响应</w:t>
                  </w:r>
                </w:p>
              </w:tc>
            </w:tr>
            <w:tr w14:paraId="4FF6A4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69" w:type="pct"/>
                  <w:vMerge w:val="restart"/>
                  <w:tcBorders>
                    <w:top w:val="single" w:color="auto" w:sz="4" w:space="0"/>
                    <w:left w:val="single" w:color="auto" w:sz="4" w:space="0"/>
                    <w:right w:val="single" w:color="auto" w:sz="4" w:space="0"/>
                  </w:tcBorders>
                  <w:vAlign w:val="center"/>
                </w:tcPr>
                <w:p w14:paraId="6878EB81">
                  <w:pPr>
                    <w:spacing w:line="240" w:lineRule="auto"/>
                    <w:jc w:val="center"/>
                  </w:pPr>
                  <w:r>
                    <w:rPr>
                      <w:kern w:val="0"/>
                      <w:szCs w:val="21"/>
                    </w:rPr>
                    <w:t>亚纳米驱动及检测系统</w:t>
                  </w:r>
                </w:p>
              </w:tc>
              <w:tc>
                <w:tcPr>
                  <w:tcW w:w="667" w:type="pct"/>
                  <w:vMerge w:val="restart"/>
                  <w:tcBorders>
                    <w:top w:val="single" w:color="auto" w:sz="4" w:space="0"/>
                    <w:left w:val="single" w:color="auto" w:sz="4" w:space="0"/>
                    <w:bottom w:val="single" w:color="auto" w:sz="4" w:space="0"/>
                    <w:right w:val="single" w:color="auto" w:sz="4" w:space="0"/>
                  </w:tcBorders>
                  <w:vAlign w:val="center"/>
                </w:tcPr>
                <w:p w14:paraId="01EFABE7">
                  <w:pPr>
                    <w:spacing w:line="240" w:lineRule="auto"/>
                    <w:jc w:val="center"/>
                  </w:pPr>
                  <w:r>
                    <w:t>X方向位移</w:t>
                  </w:r>
                </w:p>
              </w:tc>
              <w:tc>
                <w:tcPr>
                  <w:tcW w:w="812" w:type="pct"/>
                  <w:tcBorders>
                    <w:top w:val="single" w:color="auto" w:sz="4" w:space="0"/>
                    <w:left w:val="single" w:color="auto" w:sz="4" w:space="0"/>
                    <w:bottom w:val="single" w:color="auto" w:sz="4" w:space="0"/>
                    <w:right w:val="single" w:color="auto" w:sz="4" w:space="0"/>
                  </w:tcBorders>
                  <w:vAlign w:val="center"/>
                </w:tcPr>
                <w:p w14:paraId="62A26FF1">
                  <w:pPr>
                    <w:spacing w:line="240" w:lineRule="auto"/>
                    <w:jc w:val="center"/>
                  </w:pPr>
                  <w:r>
                    <w:t>行程</w:t>
                  </w:r>
                </w:p>
              </w:tc>
              <w:tc>
                <w:tcPr>
                  <w:tcW w:w="2061" w:type="pct"/>
                  <w:tcBorders>
                    <w:top w:val="single" w:color="auto" w:sz="4" w:space="0"/>
                    <w:left w:val="single" w:color="auto" w:sz="4" w:space="0"/>
                    <w:bottom w:val="single" w:color="auto" w:sz="4" w:space="0"/>
                    <w:right w:val="single" w:color="auto" w:sz="4" w:space="0"/>
                  </w:tcBorders>
                  <w:vAlign w:val="center"/>
                </w:tcPr>
                <w:p w14:paraId="0CAD6525">
                  <w:pPr>
                    <w:spacing w:line="240" w:lineRule="auto"/>
                    <w:jc w:val="center"/>
                  </w:pPr>
                  <w:r>
                    <w:t>≥10 μm</w:t>
                  </w:r>
                </w:p>
              </w:tc>
              <w:tc>
                <w:tcPr>
                  <w:tcW w:w="691" w:type="pct"/>
                  <w:tcBorders>
                    <w:top w:val="single" w:color="auto" w:sz="4" w:space="0"/>
                    <w:left w:val="single" w:color="auto" w:sz="4" w:space="0"/>
                    <w:bottom w:val="single" w:color="auto" w:sz="4" w:space="0"/>
                    <w:right w:val="single" w:color="auto" w:sz="4" w:space="0"/>
                  </w:tcBorders>
                  <w:vAlign w:val="center"/>
                </w:tcPr>
                <w:p w14:paraId="7A0FECA6">
                  <w:pPr>
                    <w:spacing w:line="240" w:lineRule="auto"/>
                    <w:jc w:val="center"/>
                  </w:pPr>
                </w:p>
              </w:tc>
            </w:tr>
            <w:tr w14:paraId="02964F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69" w:type="pct"/>
                  <w:vMerge w:val="continue"/>
                  <w:tcBorders>
                    <w:left w:val="single" w:color="auto" w:sz="4" w:space="0"/>
                    <w:right w:val="single" w:color="auto" w:sz="4" w:space="0"/>
                  </w:tcBorders>
                  <w:vAlign w:val="center"/>
                </w:tcPr>
                <w:p w14:paraId="440FAB44">
                  <w:pPr>
                    <w:widowControl/>
                    <w:spacing w:line="240" w:lineRule="auto"/>
                    <w:jc w:val="left"/>
                    <w:rPr>
                      <w:rFonts w:eastAsiaTheme="minorEastAsia"/>
                      <w:szCs w:val="22"/>
                    </w:rPr>
                  </w:pPr>
                </w:p>
              </w:tc>
              <w:tc>
                <w:tcPr>
                  <w:tcW w:w="667" w:type="pct"/>
                  <w:vMerge w:val="continue"/>
                  <w:tcBorders>
                    <w:top w:val="single" w:color="auto" w:sz="4" w:space="0"/>
                    <w:left w:val="single" w:color="auto" w:sz="4" w:space="0"/>
                    <w:bottom w:val="single" w:color="auto" w:sz="4" w:space="0"/>
                    <w:right w:val="single" w:color="auto" w:sz="4" w:space="0"/>
                  </w:tcBorders>
                  <w:vAlign w:val="center"/>
                </w:tcPr>
                <w:p w14:paraId="282A213A">
                  <w:pPr>
                    <w:widowControl/>
                    <w:spacing w:line="240" w:lineRule="auto"/>
                    <w:jc w:val="left"/>
                    <w:rPr>
                      <w:rFonts w:eastAsiaTheme="minorEastAsia"/>
                      <w:szCs w:val="22"/>
                    </w:rPr>
                  </w:pPr>
                </w:p>
              </w:tc>
              <w:tc>
                <w:tcPr>
                  <w:tcW w:w="812" w:type="pct"/>
                  <w:tcBorders>
                    <w:top w:val="single" w:color="auto" w:sz="4" w:space="0"/>
                    <w:left w:val="single" w:color="auto" w:sz="4" w:space="0"/>
                    <w:bottom w:val="single" w:color="auto" w:sz="4" w:space="0"/>
                    <w:right w:val="single" w:color="auto" w:sz="4" w:space="0"/>
                  </w:tcBorders>
                  <w:vAlign w:val="center"/>
                </w:tcPr>
                <w:p w14:paraId="73497985">
                  <w:pPr>
                    <w:spacing w:line="240" w:lineRule="auto"/>
                    <w:jc w:val="center"/>
                  </w:pPr>
                  <w:r>
                    <w:t>最小步长</w:t>
                  </w:r>
                </w:p>
              </w:tc>
              <w:tc>
                <w:tcPr>
                  <w:tcW w:w="2061" w:type="pct"/>
                  <w:tcBorders>
                    <w:top w:val="single" w:color="auto" w:sz="4" w:space="0"/>
                    <w:left w:val="single" w:color="auto" w:sz="4" w:space="0"/>
                    <w:bottom w:val="single" w:color="auto" w:sz="4" w:space="0"/>
                    <w:right w:val="single" w:color="auto" w:sz="4" w:space="0"/>
                  </w:tcBorders>
                  <w:vAlign w:val="center"/>
                </w:tcPr>
                <w:p w14:paraId="64C7E025">
                  <w:pPr>
                    <w:spacing w:line="240" w:lineRule="auto"/>
                    <w:jc w:val="center"/>
                  </w:pPr>
                  <w:r>
                    <w:t>≤1 nm</w:t>
                  </w:r>
                </w:p>
              </w:tc>
              <w:tc>
                <w:tcPr>
                  <w:tcW w:w="691" w:type="pct"/>
                  <w:tcBorders>
                    <w:top w:val="single" w:color="auto" w:sz="4" w:space="0"/>
                    <w:left w:val="single" w:color="auto" w:sz="4" w:space="0"/>
                    <w:bottom w:val="single" w:color="auto" w:sz="4" w:space="0"/>
                    <w:right w:val="single" w:color="auto" w:sz="4" w:space="0"/>
                  </w:tcBorders>
                  <w:vAlign w:val="center"/>
                </w:tcPr>
                <w:p w14:paraId="009F83F7">
                  <w:pPr>
                    <w:spacing w:line="240" w:lineRule="auto"/>
                    <w:jc w:val="center"/>
                  </w:pPr>
                </w:p>
              </w:tc>
            </w:tr>
            <w:tr w14:paraId="76FF12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769" w:type="pct"/>
                  <w:vMerge w:val="continue"/>
                  <w:tcBorders>
                    <w:left w:val="single" w:color="auto" w:sz="4" w:space="0"/>
                    <w:right w:val="single" w:color="auto" w:sz="4" w:space="0"/>
                  </w:tcBorders>
                  <w:vAlign w:val="center"/>
                </w:tcPr>
                <w:p w14:paraId="5B825615">
                  <w:pPr>
                    <w:widowControl/>
                    <w:spacing w:line="240" w:lineRule="auto"/>
                    <w:jc w:val="left"/>
                    <w:rPr>
                      <w:rFonts w:eastAsiaTheme="minorEastAsia"/>
                      <w:szCs w:val="22"/>
                    </w:rPr>
                  </w:pPr>
                </w:p>
              </w:tc>
              <w:tc>
                <w:tcPr>
                  <w:tcW w:w="667" w:type="pct"/>
                  <w:vMerge w:val="continue"/>
                  <w:tcBorders>
                    <w:top w:val="single" w:color="auto" w:sz="4" w:space="0"/>
                    <w:left w:val="single" w:color="auto" w:sz="4" w:space="0"/>
                    <w:bottom w:val="single" w:color="auto" w:sz="4" w:space="0"/>
                    <w:right w:val="single" w:color="auto" w:sz="4" w:space="0"/>
                  </w:tcBorders>
                  <w:vAlign w:val="center"/>
                </w:tcPr>
                <w:p w14:paraId="322D3A95">
                  <w:pPr>
                    <w:widowControl/>
                    <w:spacing w:line="240" w:lineRule="auto"/>
                    <w:jc w:val="left"/>
                    <w:rPr>
                      <w:rFonts w:eastAsiaTheme="minorEastAsia"/>
                      <w:szCs w:val="22"/>
                    </w:rPr>
                  </w:pPr>
                </w:p>
              </w:tc>
              <w:tc>
                <w:tcPr>
                  <w:tcW w:w="812" w:type="pct"/>
                  <w:tcBorders>
                    <w:top w:val="single" w:color="auto" w:sz="4" w:space="0"/>
                    <w:left w:val="single" w:color="auto" w:sz="4" w:space="0"/>
                    <w:bottom w:val="single" w:color="auto" w:sz="4" w:space="0"/>
                    <w:right w:val="single" w:color="auto" w:sz="4" w:space="0"/>
                  </w:tcBorders>
                  <w:vAlign w:val="center"/>
                </w:tcPr>
                <w:p w14:paraId="0C2D3448">
                  <w:pPr>
                    <w:spacing w:line="240" w:lineRule="auto"/>
                    <w:jc w:val="center"/>
                  </w:pPr>
                  <w:r>
                    <w:t>重复性</w:t>
                  </w:r>
                </w:p>
              </w:tc>
              <w:tc>
                <w:tcPr>
                  <w:tcW w:w="2061" w:type="pct"/>
                  <w:tcBorders>
                    <w:top w:val="single" w:color="auto" w:sz="4" w:space="0"/>
                    <w:left w:val="single" w:color="auto" w:sz="4" w:space="0"/>
                    <w:bottom w:val="single" w:color="auto" w:sz="4" w:space="0"/>
                    <w:right w:val="single" w:color="auto" w:sz="4" w:space="0"/>
                  </w:tcBorders>
                  <w:vAlign w:val="center"/>
                </w:tcPr>
                <w:p w14:paraId="3D3B72F1">
                  <w:pPr>
                    <w:spacing w:line="240" w:lineRule="auto"/>
                    <w:jc w:val="center"/>
                  </w:pPr>
                  <w:r>
                    <w:t>≤5 nm (rms)</w:t>
                  </w:r>
                </w:p>
              </w:tc>
              <w:tc>
                <w:tcPr>
                  <w:tcW w:w="691" w:type="pct"/>
                  <w:tcBorders>
                    <w:top w:val="single" w:color="auto" w:sz="4" w:space="0"/>
                    <w:left w:val="single" w:color="auto" w:sz="4" w:space="0"/>
                    <w:bottom w:val="single" w:color="auto" w:sz="4" w:space="0"/>
                    <w:right w:val="single" w:color="auto" w:sz="4" w:space="0"/>
                  </w:tcBorders>
                  <w:vAlign w:val="center"/>
                </w:tcPr>
                <w:p w14:paraId="43F05BD0">
                  <w:pPr>
                    <w:spacing w:line="240" w:lineRule="auto"/>
                    <w:jc w:val="center"/>
                  </w:pPr>
                </w:p>
              </w:tc>
            </w:tr>
            <w:tr w14:paraId="149592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69" w:type="pct"/>
                  <w:vMerge w:val="continue"/>
                  <w:tcBorders>
                    <w:left w:val="single" w:color="auto" w:sz="4" w:space="0"/>
                    <w:right w:val="single" w:color="auto" w:sz="4" w:space="0"/>
                  </w:tcBorders>
                  <w:vAlign w:val="center"/>
                </w:tcPr>
                <w:p w14:paraId="32798832">
                  <w:pPr>
                    <w:widowControl/>
                    <w:spacing w:line="240" w:lineRule="auto"/>
                    <w:jc w:val="left"/>
                    <w:rPr>
                      <w:rFonts w:eastAsiaTheme="minorEastAsia"/>
                      <w:szCs w:val="22"/>
                    </w:rPr>
                  </w:pPr>
                </w:p>
              </w:tc>
              <w:tc>
                <w:tcPr>
                  <w:tcW w:w="667" w:type="pct"/>
                  <w:vMerge w:val="continue"/>
                  <w:tcBorders>
                    <w:top w:val="single" w:color="auto" w:sz="4" w:space="0"/>
                    <w:left w:val="single" w:color="auto" w:sz="4" w:space="0"/>
                    <w:bottom w:val="single" w:color="auto" w:sz="4" w:space="0"/>
                    <w:right w:val="single" w:color="auto" w:sz="4" w:space="0"/>
                  </w:tcBorders>
                  <w:vAlign w:val="center"/>
                </w:tcPr>
                <w:p w14:paraId="7B6AAF84">
                  <w:pPr>
                    <w:widowControl/>
                    <w:spacing w:line="240" w:lineRule="auto"/>
                    <w:jc w:val="left"/>
                    <w:rPr>
                      <w:rFonts w:eastAsiaTheme="minorEastAsia"/>
                      <w:szCs w:val="22"/>
                    </w:rPr>
                  </w:pPr>
                </w:p>
              </w:tc>
              <w:tc>
                <w:tcPr>
                  <w:tcW w:w="812" w:type="pct"/>
                  <w:tcBorders>
                    <w:top w:val="single" w:color="auto" w:sz="4" w:space="0"/>
                    <w:left w:val="single" w:color="auto" w:sz="4" w:space="0"/>
                    <w:bottom w:val="single" w:color="auto" w:sz="4" w:space="0"/>
                    <w:right w:val="single" w:color="auto" w:sz="4" w:space="0"/>
                  </w:tcBorders>
                  <w:vAlign w:val="center"/>
                </w:tcPr>
                <w:p w14:paraId="46DC547D">
                  <w:pPr>
                    <w:spacing w:line="240" w:lineRule="auto"/>
                    <w:jc w:val="center"/>
                  </w:pPr>
                  <w:r>
                    <w:t>稳定性</w:t>
                  </w:r>
                </w:p>
              </w:tc>
              <w:tc>
                <w:tcPr>
                  <w:tcW w:w="2061" w:type="pct"/>
                  <w:tcBorders>
                    <w:top w:val="single" w:color="auto" w:sz="4" w:space="0"/>
                    <w:left w:val="single" w:color="auto" w:sz="4" w:space="0"/>
                    <w:bottom w:val="single" w:color="auto" w:sz="4" w:space="0"/>
                    <w:right w:val="single" w:color="auto" w:sz="4" w:space="0"/>
                  </w:tcBorders>
                  <w:vAlign w:val="center"/>
                </w:tcPr>
                <w:p w14:paraId="0DA20ADE">
                  <w:pPr>
                    <w:spacing w:line="240" w:lineRule="auto"/>
                    <w:jc w:val="center"/>
                  </w:pPr>
                  <w:r>
                    <w:t>≤1 nm</w:t>
                  </w:r>
                  <w:r>
                    <w:rPr>
                      <w:rFonts w:hint="eastAsia"/>
                    </w:rPr>
                    <w:t xml:space="preserve"> </w:t>
                  </w:r>
                  <w:r>
                    <w:t>(rms, 30s内)</w:t>
                  </w:r>
                </w:p>
              </w:tc>
              <w:tc>
                <w:tcPr>
                  <w:tcW w:w="691" w:type="pct"/>
                  <w:tcBorders>
                    <w:top w:val="single" w:color="auto" w:sz="4" w:space="0"/>
                    <w:left w:val="single" w:color="auto" w:sz="4" w:space="0"/>
                    <w:bottom w:val="single" w:color="auto" w:sz="4" w:space="0"/>
                    <w:right w:val="single" w:color="auto" w:sz="4" w:space="0"/>
                  </w:tcBorders>
                  <w:vAlign w:val="center"/>
                </w:tcPr>
                <w:p w14:paraId="18AF351F">
                  <w:pPr>
                    <w:spacing w:line="240" w:lineRule="auto"/>
                    <w:jc w:val="center"/>
                  </w:pPr>
                </w:p>
              </w:tc>
            </w:tr>
            <w:tr w14:paraId="2994A4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1" w:hRule="atLeast"/>
                <w:jc w:val="center"/>
              </w:trPr>
              <w:tc>
                <w:tcPr>
                  <w:tcW w:w="769" w:type="pct"/>
                  <w:vMerge w:val="continue"/>
                  <w:tcBorders>
                    <w:left w:val="single" w:color="auto" w:sz="4" w:space="0"/>
                    <w:right w:val="single" w:color="auto" w:sz="4" w:space="0"/>
                  </w:tcBorders>
                  <w:vAlign w:val="center"/>
                </w:tcPr>
                <w:p w14:paraId="4932251A">
                  <w:pPr>
                    <w:widowControl/>
                    <w:spacing w:line="240" w:lineRule="auto"/>
                    <w:jc w:val="left"/>
                    <w:rPr>
                      <w:rFonts w:eastAsiaTheme="minorEastAsia"/>
                      <w:szCs w:val="22"/>
                    </w:rPr>
                  </w:pPr>
                </w:p>
              </w:tc>
              <w:tc>
                <w:tcPr>
                  <w:tcW w:w="667" w:type="pct"/>
                  <w:vMerge w:val="restart"/>
                  <w:tcBorders>
                    <w:top w:val="single" w:color="auto" w:sz="4" w:space="0"/>
                    <w:left w:val="single" w:color="auto" w:sz="4" w:space="0"/>
                    <w:right w:val="single" w:color="auto" w:sz="4" w:space="0"/>
                  </w:tcBorders>
                  <w:vAlign w:val="center"/>
                </w:tcPr>
                <w:p w14:paraId="23C62738">
                  <w:pPr>
                    <w:spacing w:line="240" w:lineRule="auto"/>
                    <w:jc w:val="center"/>
                  </w:pPr>
                  <w:r>
                    <w:t>Pitch（Ry）调节</w:t>
                  </w:r>
                </w:p>
              </w:tc>
              <w:tc>
                <w:tcPr>
                  <w:tcW w:w="812" w:type="pct"/>
                  <w:tcBorders>
                    <w:top w:val="single" w:color="auto" w:sz="4" w:space="0"/>
                    <w:left w:val="single" w:color="auto" w:sz="4" w:space="0"/>
                    <w:bottom w:val="single" w:color="auto" w:sz="4" w:space="0"/>
                    <w:right w:val="single" w:color="auto" w:sz="4" w:space="0"/>
                  </w:tcBorders>
                  <w:vAlign w:val="center"/>
                </w:tcPr>
                <w:p w14:paraId="03DB61D8">
                  <w:pPr>
                    <w:spacing w:line="240" w:lineRule="auto"/>
                    <w:jc w:val="center"/>
                  </w:pPr>
                  <w:r>
                    <w:t>行程</w:t>
                  </w:r>
                </w:p>
              </w:tc>
              <w:tc>
                <w:tcPr>
                  <w:tcW w:w="2061" w:type="pct"/>
                  <w:tcBorders>
                    <w:top w:val="single" w:color="auto" w:sz="4" w:space="0"/>
                    <w:left w:val="single" w:color="auto" w:sz="4" w:space="0"/>
                    <w:right w:val="single" w:color="auto" w:sz="4" w:space="0"/>
                  </w:tcBorders>
                  <w:vAlign w:val="center"/>
                </w:tcPr>
                <w:p w14:paraId="12454E6C">
                  <w:pPr>
                    <w:spacing w:line="240" w:lineRule="auto"/>
                    <w:jc w:val="center"/>
                    <w:rPr>
                      <w:kern w:val="0"/>
                    </w:rPr>
                  </w:pPr>
                  <w:r>
                    <w:rPr>
                      <w:kern w:val="0"/>
                    </w:rPr>
                    <w:t>≥ 60 μrad (±30 μrad)</w:t>
                  </w:r>
                </w:p>
              </w:tc>
              <w:tc>
                <w:tcPr>
                  <w:tcW w:w="691" w:type="pct"/>
                  <w:tcBorders>
                    <w:top w:val="single" w:color="auto" w:sz="4" w:space="0"/>
                    <w:left w:val="single" w:color="auto" w:sz="4" w:space="0"/>
                    <w:right w:val="single" w:color="auto" w:sz="4" w:space="0"/>
                  </w:tcBorders>
                  <w:vAlign w:val="center"/>
                </w:tcPr>
                <w:p w14:paraId="76294DA5">
                  <w:pPr>
                    <w:spacing w:line="240" w:lineRule="auto"/>
                    <w:jc w:val="center"/>
                  </w:pPr>
                </w:p>
              </w:tc>
            </w:tr>
            <w:tr w14:paraId="6B6093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1" w:hRule="atLeast"/>
                <w:jc w:val="center"/>
              </w:trPr>
              <w:tc>
                <w:tcPr>
                  <w:tcW w:w="769" w:type="pct"/>
                  <w:vMerge w:val="continue"/>
                  <w:tcBorders>
                    <w:left w:val="single" w:color="auto" w:sz="4" w:space="0"/>
                    <w:right w:val="single" w:color="auto" w:sz="4" w:space="0"/>
                  </w:tcBorders>
                  <w:vAlign w:val="center"/>
                </w:tcPr>
                <w:p w14:paraId="46873CC3">
                  <w:pPr>
                    <w:spacing w:line="240" w:lineRule="auto"/>
                    <w:jc w:val="center"/>
                  </w:pPr>
                </w:p>
              </w:tc>
              <w:tc>
                <w:tcPr>
                  <w:tcW w:w="667" w:type="pct"/>
                  <w:vMerge w:val="continue"/>
                  <w:tcBorders>
                    <w:left w:val="single" w:color="auto" w:sz="4" w:space="0"/>
                    <w:right w:val="single" w:color="auto" w:sz="4" w:space="0"/>
                  </w:tcBorders>
                  <w:vAlign w:val="center"/>
                </w:tcPr>
                <w:p w14:paraId="4D32CE92">
                  <w:pPr>
                    <w:spacing w:line="240" w:lineRule="auto"/>
                    <w:jc w:val="center"/>
                  </w:pPr>
                </w:p>
              </w:tc>
              <w:tc>
                <w:tcPr>
                  <w:tcW w:w="812" w:type="pct"/>
                  <w:tcBorders>
                    <w:top w:val="single" w:color="auto" w:sz="4" w:space="0"/>
                    <w:left w:val="single" w:color="auto" w:sz="4" w:space="0"/>
                    <w:bottom w:val="single" w:color="auto" w:sz="4" w:space="0"/>
                    <w:right w:val="single" w:color="auto" w:sz="4" w:space="0"/>
                  </w:tcBorders>
                  <w:vAlign w:val="center"/>
                </w:tcPr>
                <w:p w14:paraId="312B86B0">
                  <w:pPr>
                    <w:spacing w:line="240" w:lineRule="auto"/>
                    <w:jc w:val="center"/>
                  </w:pPr>
                  <w:r>
                    <w:t>最小步长</w:t>
                  </w:r>
                </w:p>
              </w:tc>
              <w:tc>
                <w:tcPr>
                  <w:tcW w:w="2061" w:type="pct"/>
                  <w:tcBorders>
                    <w:left w:val="single" w:color="auto" w:sz="4" w:space="0"/>
                    <w:right w:val="single" w:color="auto" w:sz="4" w:space="0"/>
                  </w:tcBorders>
                  <w:vAlign w:val="center"/>
                </w:tcPr>
                <w:p w14:paraId="6DDAEAFF">
                  <w:pPr>
                    <w:spacing w:line="240" w:lineRule="auto"/>
                    <w:jc w:val="center"/>
                  </w:pPr>
                  <w:r>
                    <w:t>≤ 0.1 μrad</w:t>
                  </w:r>
                </w:p>
              </w:tc>
              <w:tc>
                <w:tcPr>
                  <w:tcW w:w="691" w:type="pct"/>
                  <w:tcBorders>
                    <w:left w:val="single" w:color="auto" w:sz="4" w:space="0"/>
                    <w:right w:val="single" w:color="auto" w:sz="4" w:space="0"/>
                  </w:tcBorders>
                  <w:vAlign w:val="center"/>
                </w:tcPr>
                <w:p w14:paraId="0A1F3C7F">
                  <w:pPr>
                    <w:spacing w:line="240" w:lineRule="auto"/>
                    <w:jc w:val="center"/>
                  </w:pPr>
                </w:p>
              </w:tc>
            </w:tr>
            <w:tr w14:paraId="2959F5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1" w:hRule="atLeast"/>
                <w:jc w:val="center"/>
              </w:trPr>
              <w:tc>
                <w:tcPr>
                  <w:tcW w:w="769" w:type="pct"/>
                  <w:vMerge w:val="continue"/>
                  <w:tcBorders>
                    <w:left w:val="single" w:color="auto" w:sz="4" w:space="0"/>
                    <w:right w:val="single" w:color="auto" w:sz="4" w:space="0"/>
                  </w:tcBorders>
                  <w:vAlign w:val="center"/>
                </w:tcPr>
                <w:p w14:paraId="72F746E9">
                  <w:pPr>
                    <w:spacing w:line="240" w:lineRule="auto"/>
                    <w:jc w:val="center"/>
                  </w:pPr>
                </w:p>
              </w:tc>
              <w:tc>
                <w:tcPr>
                  <w:tcW w:w="667" w:type="pct"/>
                  <w:vMerge w:val="continue"/>
                  <w:tcBorders>
                    <w:left w:val="single" w:color="auto" w:sz="4" w:space="0"/>
                    <w:right w:val="single" w:color="auto" w:sz="4" w:space="0"/>
                  </w:tcBorders>
                  <w:vAlign w:val="center"/>
                </w:tcPr>
                <w:p w14:paraId="136855DA">
                  <w:pPr>
                    <w:spacing w:line="240" w:lineRule="auto"/>
                    <w:jc w:val="center"/>
                  </w:pPr>
                </w:p>
              </w:tc>
              <w:tc>
                <w:tcPr>
                  <w:tcW w:w="812" w:type="pct"/>
                  <w:tcBorders>
                    <w:top w:val="single" w:color="auto" w:sz="4" w:space="0"/>
                    <w:left w:val="single" w:color="auto" w:sz="4" w:space="0"/>
                    <w:bottom w:val="single" w:color="auto" w:sz="4" w:space="0"/>
                    <w:right w:val="single" w:color="auto" w:sz="4" w:space="0"/>
                  </w:tcBorders>
                  <w:vAlign w:val="center"/>
                </w:tcPr>
                <w:p w14:paraId="24B253C1">
                  <w:pPr>
                    <w:spacing w:line="240" w:lineRule="auto"/>
                    <w:jc w:val="center"/>
                  </w:pPr>
                  <w:r>
                    <w:t>重复性</w:t>
                  </w:r>
                </w:p>
              </w:tc>
              <w:tc>
                <w:tcPr>
                  <w:tcW w:w="2061" w:type="pct"/>
                  <w:tcBorders>
                    <w:left w:val="single" w:color="auto" w:sz="4" w:space="0"/>
                    <w:right w:val="single" w:color="auto" w:sz="4" w:space="0"/>
                  </w:tcBorders>
                  <w:vAlign w:val="center"/>
                </w:tcPr>
                <w:p w14:paraId="6843D87F">
                  <w:pPr>
                    <w:spacing w:line="240" w:lineRule="auto"/>
                    <w:jc w:val="center"/>
                  </w:pPr>
                  <w:r>
                    <w:t>≤ 0.5 μrad (rms)</w:t>
                  </w:r>
                </w:p>
              </w:tc>
              <w:tc>
                <w:tcPr>
                  <w:tcW w:w="691" w:type="pct"/>
                  <w:tcBorders>
                    <w:left w:val="single" w:color="auto" w:sz="4" w:space="0"/>
                    <w:right w:val="single" w:color="auto" w:sz="4" w:space="0"/>
                  </w:tcBorders>
                  <w:vAlign w:val="center"/>
                </w:tcPr>
                <w:p w14:paraId="4E0ED04D">
                  <w:pPr>
                    <w:spacing w:line="240" w:lineRule="auto"/>
                    <w:jc w:val="center"/>
                  </w:pPr>
                </w:p>
              </w:tc>
            </w:tr>
            <w:tr w14:paraId="702A03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1" w:hRule="atLeast"/>
                <w:jc w:val="center"/>
              </w:trPr>
              <w:tc>
                <w:tcPr>
                  <w:tcW w:w="769" w:type="pct"/>
                  <w:vMerge w:val="continue"/>
                  <w:tcBorders>
                    <w:left w:val="single" w:color="auto" w:sz="4" w:space="0"/>
                    <w:right w:val="single" w:color="auto" w:sz="4" w:space="0"/>
                  </w:tcBorders>
                  <w:vAlign w:val="center"/>
                </w:tcPr>
                <w:p w14:paraId="7B194229">
                  <w:pPr>
                    <w:spacing w:line="240" w:lineRule="auto"/>
                    <w:jc w:val="center"/>
                  </w:pPr>
                </w:p>
              </w:tc>
              <w:tc>
                <w:tcPr>
                  <w:tcW w:w="667" w:type="pct"/>
                  <w:vMerge w:val="continue"/>
                  <w:tcBorders>
                    <w:left w:val="single" w:color="auto" w:sz="4" w:space="0"/>
                    <w:bottom w:val="single" w:color="auto" w:sz="4" w:space="0"/>
                    <w:right w:val="single" w:color="auto" w:sz="4" w:space="0"/>
                  </w:tcBorders>
                  <w:vAlign w:val="center"/>
                </w:tcPr>
                <w:p w14:paraId="130C2971">
                  <w:pPr>
                    <w:spacing w:line="240" w:lineRule="auto"/>
                    <w:jc w:val="center"/>
                  </w:pPr>
                </w:p>
              </w:tc>
              <w:tc>
                <w:tcPr>
                  <w:tcW w:w="812" w:type="pct"/>
                  <w:tcBorders>
                    <w:top w:val="single" w:color="auto" w:sz="4" w:space="0"/>
                    <w:left w:val="single" w:color="auto" w:sz="4" w:space="0"/>
                    <w:bottom w:val="single" w:color="auto" w:sz="4" w:space="0"/>
                    <w:right w:val="single" w:color="auto" w:sz="4" w:space="0"/>
                  </w:tcBorders>
                  <w:vAlign w:val="center"/>
                </w:tcPr>
                <w:p w14:paraId="549E81FB">
                  <w:pPr>
                    <w:spacing w:line="240" w:lineRule="auto"/>
                    <w:jc w:val="center"/>
                  </w:pPr>
                  <w:r>
                    <w:t>稳定性</w:t>
                  </w:r>
                </w:p>
              </w:tc>
              <w:tc>
                <w:tcPr>
                  <w:tcW w:w="2061" w:type="pct"/>
                  <w:tcBorders>
                    <w:left w:val="single" w:color="auto" w:sz="4" w:space="0"/>
                    <w:bottom w:val="single" w:color="auto" w:sz="4" w:space="0"/>
                    <w:right w:val="single" w:color="auto" w:sz="4" w:space="0"/>
                  </w:tcBorders>
                  <w:vAlign w:val="center"/>
                </w:tcPr>
                <w:p w14:paraId="5FED6149">
                  <w:pPr>
                    <w:spacing w:line="240" w:lineRule="auto"/>
                    <w:jc w:val="center"/>
                  </w:pPr>
                  <w:r>
                    <w:t>≤ 0.1 μrad (rms, 30s内)</w:t>
                  </w:r>
                </w:p>
              </w:tc>
              <w:tc>
                <w:tcPr>
                  <w:tcW w:w="691" w:type="pct"/>
                  <w:tcBorders>
                    <w:left w:val="single" w:color="auto" w:sz="4" w:space="0"/>
                    <w:bottom w:val="single" w:color="auto" w:sz="4" w:space="0"/>
                    <w:right w:val="single" w:color="auto" w:sz="4" w:space="0"/>
                  </w:tcBorders>
                  <w:vAlign w:val="center"/>
                </w:tcPr>
                <w:p w14:paraId="6B5D2A3B">
                  <w:pPr>
                    <w:spacing w:line="240" w:lineRule="auto"/>
                    <w:jc w:val="center"/>
                  </w:pPr>
                </w:p>
              </w:tc>
            </w:tr>
            <w:tr w14:paraId="7FA566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69" w:type="pct"/>
                  <w:vMerge w:val="continue"/>
                  <w:tcBorders>
                    <w:left w:val="single" w:color="auto" w:sz="4" w:space="0"/>
                    <w:right w:val="single" w:color="auto" w:sz="4" w:space="0"/>
                  </w:tcBorders>
                  <w:vAlign w:val="center"/>
                </w:tcPr>
                <w:p w14:paraId="16D939FC">
                  <w:pPr>
                    <w:widowControl/>
                    <w:spacing w:line="240" w:lineRule="auto"/>
                    <w:jc w:val="left"/>
                    <w:rPr>
                      <w:rFonts w:eastAsiaTheme="minorEastAsia"/>
                      <w:szCs w:val="22"/>
                    </w:rPr>
                  </w:pPr>
                </w:p>
              </w:tc>
              <w:tc>
                <w:tcPr>
                  <w:tcW w:w="1479" w:type="pct"/>
                  <w:gridSpan w:val="2"/>
                  <w:tcBorders>
                    <w:top w:val="single" w:color="auto" w:sz="4" w:space="0"/>
                    <w:left w:val="single" w:color="auto" w:sz="4" w:space="0"/>
                    <w:bottom w:val="single" w:color="auto" w:sz="4" w:space="0"/>
                    <w:right w:val="single" w:color="auto" w:sz="4" w:space="0"/>
                  </w:tcBorders>
                  <w:vAlign w:val="center"/>
                </w:tcPr>
                <w:p w14:paraId="269248F2">
                  <w:pPr>
                    <w:spacing w:line="240" w:lineRule="auto"/>
                    <w:jc w:val="center"/>
                  </w:pPr>
                  <w:r>
                    <w:rPr>
                      <w:rFonts w:eastAsia="新宋体"/>
                      <w:kern w:val="24"/>
                      <w:sz w:val="20"/>
                      <w:szCs w:val="21"/>
                    </w:rPr>
                    <w:t>偏摆误差(Ry)</w:t>
                  </w:r>
                </w:p>
              </w:tc>
              <w:tc>
                <w:tcPr>
                  <w:tcW w:w="2061" w:type="pct"/>
                  <w:tcBorders>
                    <w:top w:val="single" w:color="auto" w:sz="4" w:space="0"/>
                    <w:left w:val="single" w:color="auto" w:sz="4" w:space="0"/>
                    <w:bottom w:val="single" w:color="auto" w:sz="4" w:space="0"/>
                    <w:right w:val="single" w:color="auto" w:sz="4" w:space="0"/>
                  </w:tcBorders>
                  <w:vAlign w:val="center"/>
                </w:tcPr>
                <w:p w14:paraId="550541EE">
                  <w:pPr>
                    <w:spacing w:line="240" w:lineRule="auto"/>
                    <w:jc w:val="center"/>
                  </w:pPr>
                  <w:r>
                    <w:rPr>
                      <w:rFonts w:eastAsia="新宋体"/>
                      <w:kern w:val="24"/>
                      <w:szCs w:val="21"/>
                    </w:rPr>
                    <w:t>10 μm全行程</w:t>
                  </w:r>
                  <w:r>
                    <w:rPr>
                      <w:rFonts w:hint="eastAsia" w:eastAsia="新宋体"/>
                      <w:kern w:val="24"/>
                      <w:szCs w:val="21"/>
                    </w:rPr>
                    <w:t xml:space="preserve"> </w:t>
                  </w:r>
                  <w:r>
                    <w:rPr>
                      <w:kern w:val="0"/>
                    </w:rPr>
                    <w:t xml:space="preserve">≤ </w:t>
                  </w:r>
                  <w:r>
                    <w:rPr>
                      <w:rFonts w:eastAsia="新宋体"/>
                      <w:kern w:val="24"/>
                      <w:szCs w:val="21"/>
                    </w:rPr>
                    <w:t>0.5 μrad (PV)</w:t>
                  </w:r>
                </w:p>
              </w:tc>
              <w:tc>
                <w:tcPr>
                  <w:tcW w:w="691" w:type="pct"/>
                  <w:tcBorders>
                    <w:top w:val="single" w:color="auto" w:sz="4" w:space="0"/>
                    <w:left w:val="single" w:color="auto" w:sz="4" w:space="0"/>
                    <w:bottom w:val="single" w:color="auto" w:sz="4" w:space="0"/>
                    <w:right w:val="single" w:color="auto" w:sz="4" w:space="0"/>
                  </w:tcBorders>
                  <w:vAlign w:val="center"/>
                </w:tcPr>
                <w:p w14:paraId="536FB5FC">
                  <w:pPr>
                    <w:spacing w:line="240" w:lineRule="auto"/>
                    <w:jc w:val="center"/>
                  </w:pPr>
                </w:p>
              </w:tc>
            </w:tr>
            <w:tr w14:paraId="53EA13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69" w:type="pct"/>
                  <w:vMerge w:val="continue"/>
                  <w:tcBorders>
                    <w:left w:val="single" w:color="auto" w:sz="4" w:space="0"/>
                    <w:right w:val="single" w:color="auto" w:sz="4" w:space="0"/>
                  </w:tcBorders>
                  <w:vAlign w:val="center"/>
                </w:tcPr>
                <w:p w14:paraId="07480073">
                  <w:pPr>
                    <w:widowControl/>
                    <w:spacing w:line="240" w:lineRule="auto"/>
                    <w:jc w:val="left"/>
                    <w:rPr>
                      <w:rFonts w:eastAsiaTheme="minorEastAsia"/>
                      <w:szCs w:val="22"/>
                    </w:rPr>
                  </w:pPr>
                </w:p>
              </w:tc>
              <w:tc>
                <w:tcPr>
                  <w:tcW w:w="1479" w:type="pct"/>
                  <w:gridSpan w:val="2"/>
                  <w:tcBorders>
                    <w:top w:val="single" w:color="auto" w:sz="4" w:space="0"/>
                    <w:left w:val="single" w:color="auto" w:sz="4" w:space="0"/>
                    <w:bottom w:val="single" w:color="auto" w:sz="4" w:space="0"/>
                    <w:right w:val="single" w:color="auto" w:sz="4" w:space="0"/>
                  </w:tcBorders>
                  <w:vAlign w:val="center"/>
                </w:tcPr>
                <w:p w14:paraId="7045F073">
                  <w:pPr>
                    <w:spacing w:line="240" w:lineRule="auto"/>
                    <w:jc w:val="center"/>
                    <w:rPr>
                      <w:rFonts w:eastAsia="新宋体"/>
                      <w:kern w:val="24"/>
                      <w:szCs w:val="21"/>
                    </w:rPr>
                  </w:pPr>
                  <w:r>
                    <w:rPr>
                      <w:rFonts w:eastAsia="新宋体"/>
                      <w:kern w:val="24"/>
                      <w:sz w:val="20"/>
                      <w:szCs w:val="21"/>
                    </w:rPr>
                    <w:t>俯仰误差(Rz)</w:t>
                  </w:r>
                </w:p>
              </w:tc>
              <w:tc>
                <w:tcPr>
                  <w:tcW w:w="2061" w:type="pct"/>
                  <w:tcBorders>
                    <w:top w:val="single" w:color="auto" w:sz="4" w:space="0"/>
                    <w:left w:val="single" w:color="auto" w:sz="4" w:space="0"/>
                    <w:bottom w:val="single" w:color="auto" w:sz="4" w:space="0"/>
                    <w:right w:val="single" w:color="auto" w:sz="4" w:space="0"/>
                  </w:tcBorders>
                  <w:vAlign w:val="center"/>
                </w:tcPr>
                <w:p w14:paraId="46266037">
                  <w:pPr>
                    <w:spacing w:line="240" w:lineRule="auto"/>
                    <w:jc w:val="center"/>
                  </w:pPr>
                  <w:r>
                    <w:rPr>
                      <w:rFonts w:eastAsia="新宋体"/>
                      <w:kern w:val="24"/>
                      <w:szCs w:val="21"/>
                    </w:rPr>
                    <w:t>10 μm全行程</w:t>
                  </w:r>
                  <w:r>
                    <w:rPr>
                      <w:rFonts w:hint="eastAsia" w:eastAsia="新宋体"/>
                      <w:kern w:val="24"/>
                      <w:szCs w:val="21"/>
                    </w:rPr>
                    <w:t xml:space="preserve"> </w:t>
                  </w:r>
                  <w:r>
                    <w:rPr>
                      <w:kern w:val="0"/>
                    </w:rPr>
                    <w:t>≤</w:t>
                  </w:r>
                  <w:r>
                    <w:rPr>
                      <w:rFonts w:eastAsia="新宋体"/>
                      <w:kern w:val="24"/>
                      <w:szCs w:val="21"/>
                    </w:rPr>
                    <w:t xml:space="preserve">10 μrad (PV) </w:t>
                  </w:r>
                </w:p>
              </w:tc>
              <w:tc>
                <w:tcPr>
                  <w:tcW w:w="691" w:type="pct"/>
                  <w:tcBorders>
                    <w:top w:val="single" w:color="auto" w:sz="4" w:space="0"/>
                    <w:left w:val="single" w:color="auto" w:sz="4" w:space="0"/>
                    <w:bottom w:val="single" w:color="auto" w:sz="4" w:space="0"/>
                    <w:right w:val="single" w:color="auto" w:sz="4" w:space="0"/>
                  </w:tcBorders>
                  <w:vAlign w:val="center"/>
                </w:tcPr>
                <w:p w14:paraId="1DD372DC">
                  <w:pPr>
                    <w:spacing w:line="240" w:lineRule="auto"/>
                    <w:jc w:val="center"/>
                  </w:pPr>
                </w:p>
              </w:tc>
            </w:tr>
            <w:tr w14:paraId="506D42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69" w:type="pct"/>
                  <w:vMerge w:val="continue"/>
                  <w:tcBorders>
                    <w:left w:val="single" w:color="auto" w:sz="4" w:space="0"/>
                    <w:right w:val="single" w:color="auto" w:sz="4" w:space="0"/>
                  </w:tcBorders>
                  <w:vAlign w:val="center"/>
                </w:tcPr>
                <w:p w14:paraId="55F8FF17">
                  <w:pPr>
                    <w:widowControl/>
                    <w:spacing w:line="240" w:lineRule="auto"/>
                    <w:jc w:val="left"/>
                    <w:rPr>
                      <w:rFonts w:eastAsiaTheme="minorEastAsia"/>
                      <w:szCs w:val="22"/>
                    </w:rPr>
                  </w:pPr>
                </w:p>
              </w:tc>
              <w:tc>
                <w:tcPr>
                  <w:tcW w:w="1479" w:type="pct"/>
                  <w:gridSpan w:val="2"/>
                  <w:tcBorders>
                    <w:top w:val="single" w:color="auto" w:sz="4" w:space="0"/>
                    <w:left w:val="single" w:color="auto" w:sz="4" w:space="0"/>
                    <w:bottom w:val="single" w:color="auto" w:sz="4" w:space="0"/>
                    <w:right w:val="single" w:color="auto" w:sz="4" w:space="0"/>
                  </w:tcBorders>
                  <w:vAlign w:val="center"/>
                </w:tcPr>
                <w:p w14:paraId="4C5EE6CD">
                  <w:pPr>
                    <w:spacing w:line="240" w:lineRule="auto"/>
                    <w:jc w:val="center"/>
                  </w:pPr>
                  <w:r>
                    <w:rPr>
                      <w:rFonts w:eastAsia="新宋体"/>
                      <w:kern w:val="24"/>
                      <w:szCs w:val="21"/>
                    </w:rPr>
                    <w:t>闭环</w:t>
                  </w:r>
                </w:p>
              </w:tc>
              <w:tc>
                <w:tcPr>
                  <w:tcW w:w="2061" w:type="pct"/>
                  <w:tcBorders>
                    <w:top w:val="single" w:color="auto" w:sz="4" w:space="0"/>
                    <w:left w:val="single" w:color="auto" w:sz="4" w:space="0"/>
                    <w:bottom w:val="single" w:color="auto" w:sz="4" w:space="0"/>
                    <w:right w:val="single" w:color="auto" w:sz="4" w:space="0"/>
                  </w:tcBorders>
                  <w:vAlign w:val="center"/>
                </w:tcPr>
                <w:p w14:paraId="6FC93151">
                  <w:pPr>
                    <w:spacing w:line="240" w:lineRule="auto"/>
                    <w:jc w:val="center"/>
                    <w:rPr>
                      <w:rFonts w:eastAsia="新宋体"/>
                      <w:kern w:val="24"/>
                      <w:szCs w:val="21"/>
                    </w:rPr>
                  </w:pPr>
                  <w:r>
                    <w:rPr>
                      <w:rFonts w:eastAsia="新宋体"/>
                      <w:kern w:val="24"/>
                      <w:szCs w:val="21"/>
                    </w:rPr>
                    <w:t>配合电容传感器闭环；</w:t>
                  </w:r>
                </w:p>
                <w:p w14:paraId="1475F161">
                  <w:pPr>
                    <w:spacing w:line="240" w:lineRule="auto"/>
                    <w:jc w:val="center"/>
                  </w:pPr>
                  <w:r>
                    <w:rPr>
                      <w:rFonts w:eastAsia="新宋体"/>
                      <w:kern w:val="24"/>
                      <w:szCs w:val="21"/>
                    </w:rPr>
                    <w:t>传感器分辨率优于0.5 nm</w:t>
                  </w:r>
                </w:p>
              </w:tc>
              <w:tc>
                <w:tcPr>
                  <w:tcW w:w="691" w:type="pct"/>
                  <w:tcBorders>
                    <w:top w:val="single" w:color="auto" w:sz="4" w:space="0"/>
                    <w:left w:val="single" w:color="auto" w:sz="4" w:space="0"/>
                    <w:bottom w:val="single" w:color="auto" w:sz="4" w:space="0"/>
                    <w:right w:val="single" w:color="auto" w:sz="4" w:space="0"/>
                  </w:tcBorders>
                  <w:vAlign w:val="center"/>
                </w:tcPr>
                <w:p w14:paraId="74F75B0F">
                  <w:pPr>
                    <w:spacing w:line="240" w:lineRule="auto"/>
                    <w:jc w:val="center"/>
                  </w:pPr>
                </w:p>
              </w:tc>
            </w:tr>
            <w:tr w14:paraId="229890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69" w:type="pct"/>
                  <w:vMerge w:val="continue"/>
                  <w:tcBorders>
                    <w:left w:val="single" w:color="auto" w:sz="4" w:space="0"/>
                    <w:right w:val="single" w:color="auto" w:sz="4" w:space="0"/>
                  </w:tcBorders>
                  <w:vAlign w:val="center"/>
                </w:tcPr>
                <w:p w14:paraId="0AA3431C">
                  <w:pPr>
                    <w:widowControl/>
                    <w:spacing w:line="240" w:lineRule="auto"/>
                    <w:jc w:val="left"/>
                    <w:rPr>
                      <w:rFonts w:eastAsiaTheme="minorEastAsia"/>
                      <w:szCs w:val="22"/>
                    </w:rPr>
                  </w:pPr>
                </w:p>
              </w:tc>
              <w:tc>
                <w:tcPr>
                  <w:tcW w:w="1479" w:type="pct"/>
                  <w:gridSpan w:val="2"/>
                  <w:tcBorders>
                    <w:top w:val="single" w:color="auto" w:sz="4" w:space="0"/>
                    <w:left w:val="single" w:color="auto" w:sz="4" w:space="0"/>
                    <w:bottom w:val="single" w:color="auto" w:sz="4" w:space="0"/>
                    <w:right w:val="single" w:color="auto" w:sz="4" w:space="0"/>
                  </w:tcBorders>
                </w:tcPr>
                <w:p w14:paraId="34524A5C">
                  <w:pPr>
                    <w:spacing w:line="240" w:lineRule="auto"/>
                    <w:jc w:val="center"/>
                  </w:pPr>
                  <w:r>
                    <w:rPr>
                      <w:rFonts w:eastAsia="新宋体"/>
                      <w:kern w:val="24"/>
                      <w:szCs w:val="21"/>
                    </w:rPr>
                    <w:t>负载</w:t>
                  </w:r>
                </w:p>
              </w:tc>
              <w:tc>
                <w:tcPr>
                  <w:tcW w:w="2061" w:type="pct"/>
                  <w:tcBorders>
                    <w:top w:val="single" w:color="auto" w:sz="4" w:space="0"/>
                    <w:left w:val="single" w:color="auto" w:sz="4" w:space="0"/>
                    <w:bottom w:val="single" w:color="auto" w:sz="4" w:space="0"/>
                    <w:right w:val="single" w:color="auto" w:sz="4" w:space="0"/>
                  </w:tcBorders>
                </w:tcPr>
                <w:p w14:paraId="53FB864F">
                  <w:pPr>
                    <w:spacing w:line="240" w:lineRule="auto"/>
                    <w:jc w:val="center"/>
                  </w:pPr>
                  <w:r>
                    <w:rPr>
                      <w:rFonts w:eastAsia="新宋体"/>
                      <w:kern w:val="24"/>
                      <w:szCs w:val="21"/>
                    </w:rPr>
                    <w:t>≥5 kg</w:t>
                  </w:r>
                </w:p>
              </w:tc>
              <w:tc>
                <w:tcPr>
                  <w:tcW w:w="691" w:type="pct"/>
                  <w:tcBorders>
                    <w:top w:val="single" w:color="auto" w:sz="4" w:space="0"/>
                    <w:left w:val="single" w:color="auto" w:sz="4" w:space="0"/>
                    <w:bottom w:val="single" w:color="auto" w:sz="4" w:space="0"/>
                    <w:right w:val="single" w:color="auto" w:sz="4" w:space="0"/>
                  </w:tcBorders>
                  <w:vAlign w:val="center"/>
                </w:tcPr>
                <w:p w14:paraId="3B896FF3">
                  <w:pPr>
                    <w:spacing w:line="240" w:lineRule="auto"/>
                    <w:jc w:val="center"/>
                  </w:pPr>
                </w:p>
              </w:tc>
            </w:tr>
            <w:tr w14:paraId="0F491D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69" w:type="pct"/>
                  <w:vMerge w:val="continue"/>
                  <w:tcBorders>
                    <w:left w:val="single" w:color="auto" w:sz="4" w:space="0"/>
                    <w:right w:val="single" w:color="auto" w:sz="4" w:space="0"/>
                  </w:tcBorders>
                  <w:vAlign w:val="center"/>
                </w:tcPr>
                <w:p w14:paraId="51F8B66F">
                  <w:pPr>
                    <w:widowControl/>
                    <w:spacing w:line="240" w:lineRule="auto"/>
                    <w:jc w:val="left"/>
                    <w:rPr>
                      <w:rFonts w:eastAsiaTheme="minorEastAsia"/>
                      <w:szCs w:val="22"/>
                    </w:rPr>
                  </w:pPr>
                </w:p>
              </w:tc>
              <w:tc>
                <w:tcPr>
                  <w:tcW w:w="1479" w:type="pct"/>
                  <w:gridSpan w:val="2"/>
                  <w:tcBorders>
                    <w:top w:val="single" w:color="auto" w:sz="4" w:space="0"/>
                    <w:left w:val="single" w:color="auto" w:sz="4" w:space="0"/>
                    <w:bottom w:val="single" w:color="auto" w:sz="4" w:space="0"/>
                    <w:right w:val="single" w:color="auto" w:sz="4" w:space="0"/>
                  </w:tcBorders>
                </w:tcPr>
                <w:p w14:paraId="4D7B9A9D">
                  <w:pPr>
                    <w:spacing w:line="240" w:lineRule="auto"/>
                    <w:jc w:val="center"/>
                  </w:pPr>
                  <w:r>
                    <w:rPr>
                      <w:rFonts w:eastAsia="新宋体"/>
                      <w:kern w:val="24"/>
                      <w:szCs w:val="21"/>
                    </w:rPr>
                    <w:t>整体尺寸</w:t>
                  </w:r>
                </w:p>
              </w:tc>
              <w:tc>
                <w:tcPr>
                  <w:tcW w:w="2061" w:type="pct"/>
                  <w:tcBorders>
                    <w:top w:val="single" w:color="auto" w:sz="4" w:space="0"/>
                    <w:left w:val="single" w:color="auto" w:sz="4" w:space="0"/>
                    <w:bottom w:val="single" w:color="auto" w:sz="4" w:space="0"/>
                    <w:right w:val="single" w:color="auto" w:sz="4" w:space="0"/>
                  </w:tcBorders>
                </w:tcPr>
                <w:p w14:paraId="19E74E28">
                  <w:pPr>
                    <w:spacing w:line="240" w:lineRule="auto"/>
                    <w:jc w:val="center"/>
                    <w:rPr>
                      <w:rFonts w:eastAsiaTheme="minorEastAsia"/>
                      <w:szCs w:val="22"/>
                    </w:rPr>
                  </w:pPr>
                  <w:r>
                    <w:rPr>
                      <w:rFonts w:eastAsia="新宋体"/>
                      <w:kern w:val="24"/>
                      <w:szCs w:val="21"/>
                    </w:rPr>
                    <w:t>300×100×30 mm</w:t>
                  </w:r>
                  <w:r>
                    <w:rPr>
                      <w:rFonts w:eastAsia="新宋体"/>
                      <w:kern w:val="24"/>
                      <w:szCs w:val="21"/>
                      <w:vertAlign w:val="superscript"/>
                    </w:rPr>
                    <w:t>3</w:t>
                  </w:r>
                  <w:r>
                    <w:rPr>
                      <w:rFonts w:eastAsia="新宋体"/>
                      <w:kern w:val="24"/>
                      <w:szCs w:val="21"/>
                    </w:rPr>
                    <w:t>（偏差±5%以内）</w:t>
                  </w:r>
                </w:p>
              </w:tc>
              <w:tc>
                <w:tcPr>
                  <w:tcW w:w="691" w:type="pct"/>
                  <w:tcBorders>
                    <w:top w:val="single" w:color="auto" w:sz="4" w:space="0"/>
                    <w:left w:val="single" w:color="auto" w:sz="4" w:space="0"/>
                    <w:bottom w:val="single" w:color="auto" w:sz="4" w:space="0"/>
                    <w:right w:val="single" w:color="auto" w:sz="4" w:space="0"/>
                  </w:tcBorders>
                  <w:vAlign w:val="center"/>
                </w:tcPr>
                <w:p w14:paraId="066FEFA4">
                  <w:pPr>
                    <w:spacing w:line="240" w:lineRule="auto"/>
                    <w:jc w:val="center"/>
                  </w:pPr>
                </w:p>
              </w:tc>
            </w:tr>
            <w:tr w14:paraId="304076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69" w:type="pct"/>
                  <w:vMerge w:val="continue"/>
                  <w:tcBorders>
                    <w:left w:val="single" w:color="auto" w:sz="4" w:space="0"/>
                    <w:right w:val="single" w:color="auto" w:sz="4" w:space="0"/>
                  </w:tcBorders>
                  <w:vAlign w:val="center"/>
                </w:tcPr>
                <w:p w14:paraId="02F21755">
                  <w:pPr>
                    <w:widowControl/>
                    <w:spacing w:line="240" w:lineRule="auto"/>
                    <w:jc w:val="left"/>
                    <w:rPr>
                      <w:rFonts w:eastAsiaTheme="minorEastAsia"/>
                      <w:szCs w:val="22"/>
                    </w:rPr>
                  </w:pPr>
                </w:p>
              </w:tc>
              <w:tc>
                <w:tcPr>
                  <w:tcW w:w="1479" w:type="pct"/>
                  <w:gridSpan w:val="2"/>
                  <w:tcBorders>
                    <w:top w:val="single" w:color="auto" w:sz="4" w:space="0"/>
                    <w:left w:val="single" w:color="auto" w:sz="4" w:space="0"/>
                    <w:bottom w:val="single" w:color="auto" w:sz="4" w:space="0"/>
                    <w:right w:val="single" w:color="auto" w:sz="4" w:space="0"/>
                  </w:tcBorders>
                </w:tcPr>
                <w:p w14:paraId="1C75B747">
                  <w:pPr>
                    <w:spacing w:line="240" w:lineRule="auto"/>
                    <w:jc w:val="center"/>
                    <w:rPr>
                      <w:rFonts w:eastAsia="新宋体"/>
                      <w:kern w:val="24"/>
                      <w:szCs w:val="21"/>
                    </w:rPr>
                  </w:pPr>
                  <w:r>
                    <w:rPr>
                      <w:rFonts w:eastAsia="新宋体"/>
                      <w:kern w:val="24"/>
                      <w:szCs w:val="21"/>
                    </w:rPr>
                    <w:t>运动台面尺寸</w:t>
                  </w:r>
                </w:p>
              </w:tc>
              <w:tc>
                <w:tcPr>
                  <w:tcW w:w="2061" w:type="pct"/>
                  <w:tcBorders>
                    <w:top w:val="single" w:color="auto" w:sz="4" w:space="0"/>
                    <w:left w:val="single" w:color="auto" w:sz="4" w:space="0"/>
                    <w:bottom w:val="single" w:color="auto" w:sz="4" w:space="0"/>
                    <w:right w:val="single" w:color="auto" w:sz="4" w:space="0"/>
                  </w:tcBorders>
                </w:tcPr>
                <w:p w14:paraId="6B04D664">
                  <w:pPr>
                    <w:spacing w:line="240" w:lineRule="auto"/>
                    <w:jc w:val="center"/>
                    <w:rPr>
                      <w:rFonts w:eastAsia="新宋体"/>
                      <w:kern w:val="24"/>
                      <w:szCs w:val="21"/>
                    </w:rPr>
                  </w:pPr>
                  <w:r>
                    <w:rPr>
                      <w:color w:val="000000"/>
                      <w:szCs w:val="21"/>
                    </w:rPr>
                    <w:t>≥ 200 mm×60 mm</w:t>
                  </w:r>
                </w:p>
              </w:tc>
              <w:tc>
                <w:tcPr>
                  <w:tcW w:w="691" w:type="pct"/>
                  <w:tcBorders>
                    <w:top w:val="single" w:color="auto" w:sz="4" w:space="0"/>
                    <w:left w:val="single" w:color="auto" w:sz="4" w:space="0"/>
                    <w:bottom w:val="single" w:color="auto" w:sz="4" w:space="0"/>
                    <w:right w:val="single" w:color="auto" w:sz="4" w:space="0"/>
                  </w:tcBorders>
                  <w:vAlign w:val="center"/>
                </w:tcPr>
                <w:p w14:paraId="5AE8CE55">
                  <w:pPr>
                    <w:spacing w:line="240" w:lineRule="auto"/>
                    <w:jc w:val="center"/>
                  </w:pPr>
                </w:p>
              </w:tc>
            </w:tr>
            <w:tr w14:paraId="3FEFE4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69" w:type="pct"/>
                  <w:vMerge w:val="continue"/>
                  <w:tcBorders>
                    <w:left w:val="single" w:color="auto" w:sz="4" w:space="0"/>
                    <w:bottom w:val="single" w:color="auto" w:sz="4" w:space="0"/>
                    <w:right w:val="single" w:color="auto" w:sz="4" w:space="0"/>
                  </w:tcBorders>
                  <w:vAlign w:val="center"/>
                </w:tcPr>
                <w:p w14:paraId="34102F93">
                  <w:pPr>
                    <w:widowControl/>
                    <w:spacing w:line="240" w:lineRule="auto"/>
                    <w:jc w:val="left"/>
                    <w:rPr>
                      <w:rFonts w:eastAsiaTheme="minorEastAsia"/>
                      <w:szCs w:val="22"/>
                    </w:rPr>
                  </w:pPr>
                </w:p>
              </w:tc>
              <w:tc>
                <w:tcPr>
                  <w:tcW w:w="1479" w:type="pct"/>
                  <w:gridSpan w:val="2"/>
                  <w:tcBorders>
                    <w:top w:val="single" w:color="auto" w:sz="4" w:space="0"/>
                    <w:left w:val="single" w:color="auto" w:sz="4" w:space="0"/>
                    <w:bottom w:val="single" w:color="auto" w:sz="4" w:space="0"/>
                    <w:right w:val="single" w:color="auto" w:sz="4" w:space="0"/>
                  </w:tcBorders>
                </w:tcPr>
                <w:p w14:paraId="6BFDF104">
                  <w:pPr>
                    <w:spacing w:line="240" w:lineRule="auto"/>
                    <w:jc w:val="center"/>
                    <w:rPr>
                      <w:rFonts w:eastAsia="新宋体"/>
                      <w:kern w:val="24"/>
                      <w:szCs w:val="21"/>
                    </w:rPr>
                  </w:pPr>
                  <w:r>
                    <w:rPr>
                      <w:rFonts w:eastAsia="新宋体"/>
                      <w:kern w:val="24"/>
                      <w:szCs w:val="21"/>
                    </w:rPr>
                    <w:t>真空度</w:t>
                  </w:r>
                </w:p>
              </w:tc>
              <w:tc>
                <w:tcPr>
                  <w:tcW w:w="2061" w:type="pct"/>
                  <w:tcBorders>
                    <w:top w:val="single" w:color="auto" w:sz="4" w:space="0"/>
                    <w:left w:val="single" w:color="auto" w:sz="4" w:space="0"/>
                    <w:bottom w:val="single" w:color="auto" w:sz="4" w:space="0"/>
                    <w:right w:val="single" w:color="auto" w:sz="4" w:space="0"/>
                  </w:tcBorders>
                </w:tcPr>
                <w:p w14:paraId="081425C3">
                  <w:pPr>
                    <w:spacing w:line="240" w:lineRule="auto"/>
                    <w:jc w:val="center"/>
                    <w:rPr>
                      <w:color w:val="000000"/>
                      <w:szCs w:val="21"/>
                    </w:rPr>
                  </w:pPr>
                  <w:r>
                    <w:rPr>
                      <w:rFonts w:eastAsia="新宋体"/>
                      <w:kern w:val="24"/>
                      <w:sz w:val="20"/>
                      <w:szCs w:val="21"/>
                    </w:rPr>
                    <w:t>优于10</w:t>
                  </w:r>
                  <w:r>
                    <w:rPr>
                      <w:rFonts w:eastAsia="新宋体"/>
                      <w:kern w:val="24"/>
                      <w:sz w:val="20"/>
                      <w:szCs w:val="21"/>
                      <w:vertAlign w:val="superscript"/>
                    </w:rPr>
                    <w:t>-7</w:t>
                  </w:r>
                  <w:r>
                    <w:rPr>
                      <w:rFonts w:eastAsia="新宋体"/>
                      <w:kern w:val="24"/>
                      <w:sz w:val="20"/>
                      <w:szCs w:val="21"/>
                    </w:rPr>
                    <w:t xml:space="preserve"> Pa</w:t>
                  </w:r>
                </w:p>
              </w:tc>
              <w:tc>
                <w:tcPr>
                  <w:tcW w:w="691" w:type="pct"/>
                  <w:tcBorders>
                    <w:top w:val="single" w:color="auto" w:sz="4" w:space="0"/>
                    <w:left w:val="single" w:color="auto" w:sz="4" w:space="0"/>
                    <w:bottom w:val="single" w:color="auto" w:sz="4" w:space="0"/>
                    <w:right w:val="single" w:color="auto" w:sz="4" w:space="0"/>
                  </w:tcBorders>
                  <w:vAlign w:val="center"/>
                </w:tcPr>
                <w:p w14:paraId="023ED7F8">
                  <w:pPr>
                    <w:spacing w:line="240" w:lineRule="auto"/>
                    <w:jc w:val="center"/>
                  </w:pPr>
                </w:p>
              </w:tc>
            </w:tr>
          </w:tbl>
          <w:p w14:paraId="2DC60BAE">
            <w:pPr>
              <w:tabs>
                <w:tab w:val="left" w:pos="6915"/>
              </w:tabs>
              <w:spacing w:line="240" w:lineRule="auto"/>
              <w:jc w:val="left"/>
              <w:rPr>
                <w:b/>
                <w:szCs w:val="21"/>
              </w:rPr>
            </w:pPr>
            <w:r>
              <w:rPr>
                <w:rFonts w:hint="eastAsia"/>
                <w:b/>
                <w:szCs w:val="21"/>
              </w:rPr>
              <w:t>保修</w:t>
            </w:r>
            <w:r>
              <w:rPr>
                <w:b/>
                <w:szCs w:val="21"/>
              </w:rPr>
              <w:t>及售后服务</w:t>
            </w:r>
            <w:r>
              <w:rPr>
                <w:rFonts w:hint="eastAsia"/>
                <w:b/>
                <w:szCs w:val="21"/>
              </w:rPr>
              <w:t>：</w:t>
            </w:r>
          </w:p>
          <w:p w14:paraId="01576734">
            <w:pPr>
              <w:tabs>
                <w:tab w:val="left" w:pos="6915"/>
              </w:tabs>
              <w:jc w:val="left"/>
              <w:rPr>
                <w:rFonts w:ascii="Arial" w:hAnsi="Arial" w:eastAsia="宋体" w:cs="Arial"/>
                <w:szCs w:val="21"/>
                <w:shd w:val="clear" w:color="auto" w:fill="FFFFFF"/>
              </w:rPr>
            </w:pPr>
            <w:bookmarkStart w:id="0" w:name="OLE_LINK68"/>
            <w:r>
              <w:rPr>
                <w:rFonts w:hint="eastAsia"/>
                <w:szCs w:val="21"/>
              </w:rPr>
              <w:t>保修期不少于</w:t>
            </w:r>
            <w:r>
              <w:rPr>
                <w:szCs w:val="21"/>
              </w:rPr>
              <w:t>12</w:t>
            </w:r>
            <w:r>
              <w:rPr>
                <w:rFonts w:hint="eastAsia"/>
                <w:szCs w:val="21"/>
              </w:rPr>
              <w:t>个月，维修响应时间小于</w:t>
            </w:r>
            <w:r>
              <w:rPr>
                <w:szCs w:val="21"/>
              </w:rPr>
              <w:t>48</w:t>
            </w:r>
            <w:r>
              <w:rPr>
                <w:rFonts w:hint="eastAsia"/>
                <w:szCs w:val="21"/>
              </w:rPr>
              <w:t>小时</w:t>
            </w:r>
            <w:bookmarkStart w:id="1" w:name="_Hlk183107726"/>
            <w:r>
              <w:rPr>
                <w:rFonts w:hint="eastAsia"/>
                <w:szCs w:val="21"/>
              </w:rPr>
              <w:t>，并提出解决方案。</w:t>
            </w:r>
            <w:bookmarkEnd w:id="0"/>
            <w:bookmarkEnd w:id="1"/>
            <w:bookmarkStart w:id="2" w:name="_GoBack"/>
            <w:bookmarkEnd w:id="2"/>
          </w:p>
        </w:tc>
        <w:tc>
          <w:tcPr>
            <w:tcW w:w="1418" w:type="dxa"/>
            <w:vAlign w:val="center"/>
          </w:tcPr>
          <w:p w14:paraId="324B1D27">
            <w:pPr>
              <w:spacing w:line="240" w:lineRule="atLeast"/>
              <w:jc w:val="center"/>
            </w:pPr>
          </w:p>
        </w:tc>
        <w:tc>
          <w:tcPr>
            <w:tcW w:w="992" w:type="dxa"/>
            <w:vAlign w:val="center"/>
          </w:tcPr>
          <w:p w14:paraId="06AA2CA0">
            <w:pPr>
              <w:spacing w:line="240" w:lineRule="atLeast"/>
              <w:jc w:val="center"/>
            </w:pPr>
          </w:p>
        </w:tc>
      </w:tr>
    </w:tbl>
    <w:p w14:paraId="6DFFEB29">
      <w:pPr>
        <w:ind w:right="840"/>
        <w:rPr>
          <w:sz w:val="24"/>
        </w:rPr>
      </w:pPr>
    </w:p>
    <w:p w14:paraId="0DED7F3B">
      <w:pPr>
        <w:ind w:right="840" w:firstLine="5040" w:firstLineChars="2100"/>
        <w:rPr>
          <w:sz w:val="24"/>
        </w:rPr>
      </w:pPr>
    </w:p>
    <w:p w14:paraId="6B36AD4F">
      <w:pPr>
        <w:ind w:right="840" w:firstLine="5040" w:firstLineChars="2100"/>
        <w:rPr>
          <w:sz w:val="24"/>
        </w:rPr>
      </w:pPr>
      <w:r>
        <w:rPr>
          <w:sz w:val="24"/>
        </w:rPr>
        <w:t>公司名称</w:t>
      </w:r>
      <w:r>
        <w:rPr>
          <w:rFonts w:hint="eastAsia"/>
          <w:sz w:val="24"/>
        </w:rPr>
        <w:t>（盖章）：</w:t>
      </w:r>
    </w:p>
    <w:p w14:paraId="2BA3965A">
      <w:pPr>
        <w:ind w:right="840"/>
        <w:jc w:val="center"/>
        <w:rPr>
          <w:sz w:val="24"/>
        </w:rPr>
      </w:pPr>
      <w:r>
        <w:rPr>
          <w:rFonts w:hint="eastAsia"/>
          <w:sz w:val="24"/>
        </w:rPr>
        <w:t xml:space="preserve"> </w:t>
      </w:r>
      <w:r>
        <w:rPr>
          <w:sz w:val="24"/>
        </w:rPr>
        <w:t xml:space="preserve">                            日期</w:t>
      </w:r>
      <w:r>
        <w:rPr>
          <w:rFonts w:hint="eastAsia"/>
          <w:sz w:val="24"/>
        </w:rPr>
        <w:t>：</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MicrosoftYaHei">
    <w:altName w:val="宋体"/>
    <w:panose1 w:val="00000000000000000000"/>
    <w:charset w:val="86"/>
    <w:family w:val="roman"/>
    <w:pitch w:val="default"/>
    <w:sig w:usb0="00000000" w:usb1="00000000" w:usb2="00000000" w:usb3="00000000" w:csb0="00000000" w:csb1="00000000"/>
  </w:font>
  <w:font w:name="新宋体">
    <w:panose1 w:val="02010609030101010101"/>
    <w:charset w:val="86"/>
    <w:family w:val="modern"/>
    <w:pitch w:val="default"/>
    <w:sig w:usb0="00000203" w:usb1="288F0000" w:usb2="00000006" w:usb3="00000000" w:csb0="00040001" w:csb1="00000000"/>
  </w:font>
  <w:font w:name="mn-cs">
    <w:altName w:val="Segoe Print"/>
    <w:panose1 w:val="00000000000000000000"/>
    <w:charset w:val="00"/>
    <w:family w:val="auto"/>
    <w:pitch w:val="default"/>
    <w:sig w:usb0="00000000" w:usb1="00000000" w:usb2="00000000" w:usb3="00000000" w:csb0="0000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1247899"/>
    <w:multiLevelType w:val="multilevel"/>
    <w:tmpl w:val="61247899"/>
    <w:lvl w:ilvl="0" w:tentative="0">
      <w:start w:val="1"/>
      <w:numFmt w:val="decimal"/>
      <w:lvlText w:val="%1、"/>
      <w:lvlJc w:val="left"/>
      <w:pPr>
        <w:ind w:left="780" w:hanging="360"/>
      </w:pPr>
      <w:rPr>
        <w:rFonts w:hint="default"/>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7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61437"/>
    <w:rsid w:val="000110C4"/>
    <w:rsid w:val="00015CB8"/>
    <w:rsid w:val="00020783"/>
    <w:rsid w:val="00025804"/>
    <w:rsid w:val="00050922"/>
    <w:rsid w:val="00086882"/>
    <w:rsid w:val="00090223"/>
    <w:rsid w:val="00091C8D"/>
    <w:rsid w:val="000E54CE"/>
    <w:rsid w:val="00102C13"/>
    <w:rsid w:val="00123779"/>
    <w:rsid w:val="001501D1"/>
    <w:rsid w:val="001548E0"/>
    <w:rsid w:val="001B219D"/>
    <w:rsid w:val="001D3367"/>
    <w:rsid w:val="002026B2"/>
    <w:rsid w:val="002212AC"/>
    <w:rsid w:val="00261EE1"/>
    <w:rsid w:val="00267E42"/>
    <w:rsid w:val="002D1729"/>
    <w:rsid w:val="002E518A"/>
    <w:rsid w:val="003009AA"/>
    <w:rsid w:val="003438B5"/>
    <w:rsid w:val="00363C73"/>
    <w:rsid w:val="003923FC"/>
    <w:rsid w:val="003C2330"/>
    <w:rsid w:val="003C7C5A"/>
    <w:rsid w:val="004626C3"/>
    <w:rsid w:val="00474B94"/>
    <w:rsid w:val="004973C3"/>
    <w:rsid w:val="004B0D2F"/>
    <w:rsid w:val="00516FB3"/>
    <w:rsid w:val="00547A75"/>
    <w:rsid w:val="00584F75"/>
    <w:rsid w:val="005C4758"/>
    <w:rsid w:val="005C4AA6"/>
    <w:rsid w:val="005E2C0C"/>
    <w:rsid w:val="005F14E0"/>
    <w:rsid w:val="005F7E7B"/>
    <w:rsid w:val="006074C0"/>
    <w:rsid w:val="00630F8F"/>
    <w:rsid w:val="00642CDA"/>
    <w:rsid w:val="00670B3D"/>
    <w:rsid w:val="006C07B4"/>
    <w:rsid w:val="006D67E0"/>
    <w:rsid w:val="00705387"/>
    <w:rsid w:val="00720BC4"/>
    <w:rsid w:val="007230C5"/>
    <w:rsid w:val="00731AE1"/>
    <w:rsid w:val="00744E8E"/>
    <w:rsid w:val="00750961"/>
    <w:rsid w:val="00757D88"/>
    <w:rsid w:val="007A4C29"/>
    <w:rsid w:val="007B2AE3"/>
    <w:rsid w:val="00811B08"/>
    <w:rsid w:val="00825420"/>
    <w:rsid w:val="00832C3E"/>
    <w:rsid w:val="00872767"/>
    <w:rsid w:val="00877DA3"/>
    <w:rsid w:val="00886A2E"/>
    <w:rsid w:val="008A717C"/>
    <w:rsid w:val="008D62B6"/>
    <w:rsid w:val="008E3DB8"/>
    <w:rsid w:val="008F0FFC"/>
    <w:rsid w:val="008F5C2B"/>
    <w:rsid w:val="009149BA"/>
    <w:rsid w:val="00961437"/>
    <w:rsid w:val="00965011"/>
    <w:rsid w:val="00995429"/>
    <w:rsid w:val="00996AC3"/>
    <w:rsid w:val="009B6E26"/>
    <w:rsid w:val="009C3224"/>
    <w:rsid w:val="009C4C31"/>
    <w:rsid w:val="009F0C82"/>
    <w:rsid w:val="009F5C3A"/>
    <w:rsid w:val="00A01094"/>
    <w:rsid w:val="00A11447"/>
    <w:rsid w:val="00A20D98"/>
    <w:rsid w:val="00A27625"/>
    <w:rsid w:val="00A44E8A"/>
    <w:rsid w:val="00A533CA"/>
    <w:rsid w:val="00A8112C"/>
    <w:rsid w:val="00AC1D37"/>
    <w:rsid w:val="00AC67EF"/>
    <w:rsid w:val="00AF7A8B"/>
    <w:rsid w:val="00B04741"/>
    <w:rsid w:val="00B311D0"/>
    <w:rsid w:val="00B64004"/>
    <w:rsid w:val="00B7785A"/>
    <w:rsid w:val="00B90DC2"/>
    <w:rsid w:val="00B971DE"/>
    <w:rsid w:val="00BA1B3F"/>
    <w:rsid w:val="00BC2767"/>
    <w:rsid w:val="00C102A3"/>
    <w:rsid w:val="00C1298E"/>
    <w:rsid w:val="00C26D9F"/>
    <w:rsid w:val="00C442AD"/>
    <w:rsid w:val="00CA3288"/>
    <w:rsid w:val="00CA3E3B"/>
    <w:rsid w:val="00D011DC"/>
    <w:rsid w:val="00D04097"/>
    <w:rsid w:val="00D24D09"/>
    <w:rsid w:val="00D72E1E"/>
    <w:rsid w:val="00D81354"/>
    <w:rsid w:val="00E00131"/>
    <w:rsid w:val="00E147A9"/>
    <w:rsid w:val="00E5012E"/>
    <w:rsid w:val="00E762FD"/>
    <w:rsid w:val="00E930C8"/>
    <w:rsid w:val="00EA412A"/>
    <w:rsid w:val="00EA6BA9"/>
    <w:rsid w:val="00F347F0"/>
    <w:rsid w:val="00F34AE9"/>
    <w:rsid w:val="00F357B0"/>
    <w:rsid w:val="00F43549"/>
    <w:rsid w:val="00F50B62"/>
    <w:rsid w:val="00F70F95"/>
    <w:rsid w:val="00F829DE"/>
    <w:rsid w:val="00F82AA6"/>
    <w:rsid w:val="00F855E3"/>
    <w:rsid w:val="00FC7C08"/>
    <w:rsid w:val="00FE15FA"/>
    <w:rsid w:val="0C7718F8"/>
    <w:rsid w:val="2D070EC5"/>
    <w:rsid w:val="46BB5348"/>
    <w:rsid w:val="51936088"/>
    <w:rsid w:val="51AB2435"/>
    <w:rsid w:val="668D654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8">
    <w:name w:val="Default Paragraph Font"/>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caption"/>
    <w:basedOn w:val="1"/>
    <w:next w:val="1"/>
    <w:semiHidden/>
    <w:unhideWhenUsed/>
    <w:qFormat/>
    <w:uiPriority w:val="35"/>
    <w:rPr>
      <w:rFonts w:ascii="Arial" w:hAnsi="Arial" w:eastAsia="黑体" w:cstheme="minorBidi"/>
      <w:sz w:val="20"/>
      <w:szCs w:val="22"/>
    </w:rPr>
  </w:style>
  <w:style w:type="paragraph" w:styleId="3">
    <w:name w:val="footer"/>
    <w:basedOn w:val="1"/>
    <w:link w:val="11"/>
    <w:unhideWhenUsed/>
    <w:qFormat/>
    <w:uiPriority w:val="99"/>
    <w:pPr>
      <w:tabs>
        <w:tab w:val="center" w:pos="4153"/>
        <w:tab w:val="right" w:pos="8306"/>
      </w:tabs>
      <w:snapToGrid w:val="0"/>
      <w:jc w:val="left"/>
    </w:pPr>
    <w:rPr>
      <w:sz w:val="18"/>
      <w:szCs w:val="18"/>
    </w:rPr>
  </w:style>
  <w:style w:type="paragraph" w:styleId="4">
    <w:name w:val="header"/>
    <w:basedOn w:val="1"/>
    <w:link w:val="10"/>
    <w:unhideWhenUsed/>
    <w:qFormat/>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semiHidden/>
    <w:unhideWhenUsed/>
    <w:qFormat/>
    <w:uiPriority w:val="99"/>
    <w:pPr>
      <w:spacing w:beforeAutospacing="1" w:afterAutospacing="1" w:line="278" w:lineRule="auto"/>
      <w:jc w:val="left"/>
    </w:pPr>
    <w:rPr>
      <w:rFonts w:ascii="Times New Roman" w:hAnsi="Times New Roman" w:eastAsia="宋体" w:cs="Times New Roman"/>
      <w:kern w:val="0"/>
      <w:sz w:val="24"/>
      <w:szCs w:val="24"/>
    </w:rPr>
  </w:style>
  <w:style w:type="table" w:styleId="7">
    <w:name w:val="Table Grid"/>
    <w:basedOn w:val="6"/>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9">
    <w:name w:val="fontstyle01"/>
    <w:basedOn w:val="8"/>
    <w:qFormat/>
    <w:uiPriority w:val="0"/>
    <w:rPr>
      <w:rFonts w:hint="default" w:ascii="MicrosoftYaHei" w:hAnsi="MicrosoftYaHei"/>
      <w:color w:val="000000"/>
      <w:sz w:val="22"/>
      <w:szCs w:val="22"/>
    </w:rPr>
  </w:style>
  <w:style w:type="character" w:customStyle="1" w:styleId="10">
    <w:name w:val="页眉 字符"/>
    <w:basedOn w:val="8"/>
    <w:link w:val="4"/>
    <w:qFormat/>
    <w:uiPriority w:val="99"/>
    <w:rPr>
      <w:sz w:val="18"/>
      <w:szCs w:val="18"/>
    </w:rPr>
  </w:style>
  <w:style w:type="character" w:customStyle="1" w:styleId="11">
    <w:name w:val="页脚 字符"/>
    <w:basedOn w:val="8"/>
    <w:link w:val="3"/>
    <w:qFormat/>
    <w:uiPriority w:val="99"/>
    <w:rPr>
      <w:sz w:val="18"/>
      <w:szCs w:val="18"/>
    </w:rPr>
  </w:style>
  <w:style w:type="paragraph" w:styleId="12">
    <w:name w:val="List Paragraph"/>
    <w:basedOn w:val="1"/>
    <w:autoRedefine/>
    <w:qFormat/>
    <w:uiPriority w:val="34"/>
    <w:pPr>
      <w:tabs>
        <w:tab w:val="left" w:pos="1428"/>
      </w:tabs>
      <w:ind w:firstLine="420" w:firstLineChars="200"/>
      <w:jc w:val="left"/>
    </w:pPr>
    <w:rPr>
      <w:rFonts w:ascii="Times New Roman" w:hAnsi="Times New Roman" w:eastAsia="宋体" w:cs="Times New Roman"/>
      <w:szCs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P R C</Company>
  <Pages>3</Pages>
  <Words>434</Words>
  <Characters>486</Characters>
  <Lines>4</Lines>
  <Paragraphs>1</Paragraphs>
  <TotalTime>0</TotalTime>
  <ScaleCrop>false</ScaleCrop>
  <LinksUpToDate>false</LinksUpToDate>
  <CharactersWithSpaces>515</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2024-07-15T01:36:00Z</dcterms:created>
  <dc:creator>China</dc:creator>
  <cp:lastModifiedBy>陈文佳</cp:lastModifiedBy>
  <dcterms:modified xsi:type="dcterms:W3CDTF">2026-05-11T09:44:35Z</dcterms:modified>
  <cp:revision>34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eyJoZGlkIjoiMzc0OTQ1OWZiNDc3Y2MyZmZmZWIzYzRlODQ4NDE3OTYiLCJ1c2VySWQiOiIxNzc0OTA2Mjk1In0=</vt:lpwstr>
  </property>
  <property fmtid="{D5CDD505-2E9C-101B-9397-08002B2CF9AE}" pid="3" name="KSOProductBuildVer">
    <vt:lpwstr>2052-12.1.0.23542</vt:lpwstr>
  </property>
  <property fmtid="{D5CDD505-2E9C-101B-9397-08002B2CF9AE}" pid="4" name="ICV">
    <vt:lpwstr>20B1B4D6E71F47CB8E65CCEFBC87FC75_12</vt:lpwstr>
  </property>
</Properties>
</file>