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3E58F52B"/>
    <w:tbl>
      <w:tblPr>
        <w:tblStyle w:val="5"/>
        <w:tblW w:w="1020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784"/>
        <w:gridCol w:w="7100"/>
        <w:gridCol w:w="933"/>
        <w:gridCol w:w="63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58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784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7100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93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63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电流型电流传感器</w:t>
            </w:r>
          </w:p>
        </w:tc>
        <w:tc>
          <w:tcPr>
            <w:tcW w:w="7100" w:type="dxa"/>
            <w:vAlign w:val="center"/>
          </w:tcPr>
          <w:tbl>
            <w:tblPr>
              <w:tblStyle w:val="4"/>
              <w:tblpPr w:leftFromText="180" w:rightFromText="180" w:vertAnchor="text" w:horzAnchor="page" w:tblpX="1006" w:tblpY="-1695"/>
              <w:tblOverlap w:val="never"/>
              <w:tblW w:w="653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00"/>
              <w:gridCol w:w="667"/>
              <w:gridCol w:w="677"/>
              <w:gridCol w:w="932"/>
              <w:gridCol w:w="774"/>
              <w:gridCol w:w="997"/>
              <w:gridCol w:w="964"/>
              <w:gridCol w:w="823"/>
            </w:tblGrid>
            <w:tr w14:paraId="23991D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98" w:hRule="atLeast"/>
              </w:trPr>
              <w:tc>
                <w:tcPr>
                  <w:tcW w:w="700" w:type="dxa"/>
                  <w:vAlign w:val="center"/>
                </w:tcPr>
                <w:p w14:paraId="5CA15895">
                  <w:pPr>
                    <w:widowControl/>
                    <w:jc w:val="center"/>
                    <w:rPr>
                      <w:rFonts w:ascii="宋体" w:hAnsi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kern w:val="0"/>
                      <w:sz w:val="18"/>
                      <w:szCs w:val="18"/>
                    </w:rPr>
                    <w:t>设备号</w:t>
                  </w:r>
                </w:p>
              </w:tc>
              <w:tc>
                <w:tcPr>
                  <w:tcW w:w="667" w:type="dxa"/>
                  <w:vAlign w:val="center"/>
                </w:tcPr>
                <w:p w14:paraId="1C98BEAE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rFonts w:ascii="宋体" w:hAnsi="宋体"/>
                      <w:b/>
                      <w:bCs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数量</w:t>
                  </w:r>
                </w:p>
              </w:tc>
              <w:tc>
                <w:tcPr>
                  <w:tcW w:w="677" w:type="dxa"/>
                  <w:vAlign w:val="center"/>
                </w:tcPr>
                <w:p w14:paraId="700A2A47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原边额定直流电流</w:t>
                  </w:r>
                </w:p>
              </w:tc>
              <w:tc>
                <w:tcPr>
                  <w:tcW w:w="932" w:type="dxa"/>
                  <w:vAlign w:val="center"/>
                </w:tcPr>
                <w:p w14:paraId="261124C2">
                  <w:pPr>
                    <w:widowControl/>
                    <w:adjustRightInd w:val="0"/>
                    <w:snapToGrid w:val="0"/>
                    <w:spacing w:line="0" w:lineRule="atLeas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额定输</w:t>
                  </w:r>
                </w:p>
                <w:p w14:paraId="273B086D">
                  <w:pPr>
                    <w:widowControl/>
                    <w:adjustRightInd w:val="0"/>
                    <w:snapToGrid w:val="0"/>
                    <w:spacing w:line="0" w:lineRule="atLeast"/>
                    <w:jc w:val="center"/>
                    <w:rPr>
                      <w:rFonts w:ascii="宋体" w:hAnsi="宋体"/>
                      <w:b/>
                      <w:bCs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出电流</w:t>
                  </w:r>
                </w:p>
              </w:tc>
              <w:tc>
                <w:tcPr>
                  <w:tcW w:w="774" w:type="dxa"/>
                  <w:vAlign w:val="center"/>
                </w:tcPr>
                <w:p w14:paraId="335C44B1">
                  <w:pPr>
                    <w:widowControl/>
                    <w:adjustRightInd w:val="0"/>
                    <w:snapToGrid w:val="0"/>
                    <w:spacing w:line="0" w:lineRule="atLeas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线性度</w:t>
                  </w:r>
                </w:p>
              </w:tc>
              <w:tc>
                <w:tcPr>
                  <w:tcW w:w="997" w:type="dxa"/>
                  <w:vAlign w:val="center"/>
                </w:tcPr>
                <w:p w14:paraId="6EF6DA06">
                  <w:pPr>
                    <w:widowControl/>
                    <w:adjustRightInd w:val="0"/>
                    <w:snapToGrid w:val="0"/>
                    <w:spacing w:line="0" w:lineRule="atLeas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输出噪声</w:t>
                  </w:r>
                </w:p>
              </w:tc>
              <w:tc>
                <w:tcPr>
                  <w:tcW w:w="964" w:type="dxa"/>
                  <w:vAlign w:val="center"/>
                </w:tcPr>
                <w:p w14:paraId="4B9CADDD">
                  <w:pPr>
                    <w:widowControl/>
                    <w:adjustRightInd w:val="0"/>
                    <w:snapToGrid w:val="0"/>
                    <w:spacing w:line="0" w:lineRule="atLeas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温度系数</w:t>
                  </w:r>
                </w:p>
              </w:tc>
              <w:tc>
                <w:tcPr>
                  <w:tcW w:w="823" w:type="dxa"/>
                  <w:vAlign w:val="center"/>
                </w:tcPr>
                <w:p w14:paraId="51E2708C">
                  <w:pPr>
                    <w:widowControl/>
                    <w:adjustRightInd w:val="0"/>
                    <w:snapToGrid w:val="0"/>
                    <w:spacing w:line="0" w:lineRule="atLeas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输出接口</w:t>
                  </w:r>
                </w:p>
              </w:tc>
            </w:tr>
            <w:tr w14:paraId="5BDA09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1" w:hRule="atLeast"/>
              </w:trPr>
              <w:tc>
                <w:tcPr>
                  <w:tcW w:w="700" w:type="dxa"/>
                </w:tcPr>
                <w:p w14:paraId="2F75736F">
                  <w:pPr>
                    <w:widowControl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vAlign w:val="center"/>
                </w:tcPr>
                <w:p w14:paraId="24EED889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42</w:t>
                  </w:r>
                </w:p>
              </w:tc>
              <w:tc>
                <w:tcPr>
                  <w:tcW w:w="677" w:type="dxa"/>
                  <w:vAlign w:val="center"/>
                </w:tcPr>
                <w:p w14:paraId="31B6D518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±60A</w:t>
                  </w:r>
                </w:p>
              </w:tc>
              <w:tc>
                <w:tcPr>
                  <w:tcW w:w="932" w:type="dxa"/>
                  <w:vAlign w:val="center"/>
                </w:tcPr>
                <w:p w14:paraId="5F0607DD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±1</w:t>
                  </w:r>
                  <w:r>
                    <w:rPr>
                      <w:sz w:val="18"/>
                      <w:szCs w:val="18"/>
                    </w:rPr>
                    <w:t>00mA</w:t>
                  </w:r>
                </w:p>
              </w:tc>
              <w:tc>
                <w:tcPr>
                  <w:tcW w:w="774" w:type="dxa"/>
                  <w:vMerge w:val="restart"/>
                  <w:vAlign w:val="center"/>
                </w:tcPr>
                <w:p w14:paraId="75EE35D9">
                  <w:pPr>
                    <w:autoSpaceDE w:val="0"/>
                    <w:autoSpaceDN w:val="0"/>
                    <w:adjustRightIn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≤3ppm</w:t>
                  </w:r>
                </w:p>
              </w:tc>
              <w:tc>
                <w:tcPr>
                  <w:tcW w:w="997" w:type="dxa"/>
                  <w:vMerge w:val="restart"/>
                </w:tcPr>
                <w:p w14:paraId="6FD5BD25">
                  <w:pPr>
                    <w:autoSpaceDE w:val="0"/>
                    <w:autoSpaceDN w:val="0"/>
                    <w:adjustRightIn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0….100Hz ≤ 1ppm/FS</w:t>
                  </w:r>
                </w:p>
                <w:p w14:paraId="2427A543">
                  <w:pPr>
                    <w:autoSpaceDE w:val="0"/>
                    <w:autoSpaceDN w:val="0"/>
                    <w:adjustRightIn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0….10kHz ≤ 8ppm/FS</w:t>
                  </w:r>
                </w:p>
              </w:tc>
              <w:tc>
                <w:tcPr>
                  <w:tcW w:w="964" w:type="dxa"/>
                </w:tcPr>
                <w:p w14:paraId="6C440F0B">
                  <w:pPr>
                    <w:autoSpaceDE w:val="0"/>
                    <w:autoSpaceDN w:val="0"/>
                    <w:adjustRightIn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≤2</w:t>
                  </w:r>
                  <w:r>
                    <w:rPr>
                      <w:rFonts w:hint="eastAsia"/>
                      <w:sz w:val="18"/>
                      <w:szCs w:val="18"/>
                    </w:rPr>
                    <w:t>.</w:t>
                  </w:r>
                  <w:r>
                    <w:rPr>
                      <w:sz w:val="18"/>
                      <w:szCs w:val="18"/>
                    </w:rPr>
                    <w:t>5ppm/K</w:t>
                  </w:r>
                </w:p>
              </w:tc>
              <w:tc>
                <w:tcPr>
                  <w:tcW w:w="823" w:type="dxa"/>
                  <w:vMerge w:val="restart"/>
                </w:tcPr>
                <w:p w14:paraId="076EC6B8">
                  <w:pPr>
                    <w:autoSpaceDE w:val="0"/>
                    <w:autoSpaceDN w:val="0"/>
                    <w:adjustRightIn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</w:p>
                <w:p w14:paraId="62BC5E91">
                  <w:pPr>
                    <w:autoSpaceDE w:val="0"/>
                    <w:autoSpaceDN w:val="0"/>
                    <w:adjustRightIn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D-</w:t>
                  </w:r>
                  <w:r>
                    <w:rPr>
                      <w:sz w:val="18"/>
                      <w:szCs w:val="18"/>
                    </w:rPr>
                    <w:t>sub 9 connector</w:t>
                  </w:r>
                </w:p>
              </w:tc>
            </w:tr>
            <w:tr w14:paraId="2693EC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7" w:hRule="atLeast"/>
              </w:trPr>
              <w:tc>
                <w:tcPr>
                  <w:tcW w:w="700" w:type="dxa"/>
                </w:tcPr>
                <w:p w14:paraId="05C98A4D">
                  <w:pPr>
                    <w:widowControl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67" w:type="dxa"/>
                  <w:vAlign w:val="center"/>
                </w:tcPr>
                <w:p w14:paraId="3D9DA976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677" w:type="dxa"/>
                  <w:vAlign w:val="center"/>
                </w:tcPr>
                <w:p w14:paraId="3458A66A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±200A</w:t>
                  </w:r>
                </w:p>
              </w:tc>
              <w:tc>
                <w:tcPr>
                  <w:tcW w:w="932" w:type="dxa"/>
                  <w:vAlign w:val="center"/>
                </w:tcPr>
                <w:p w14:paraId="5ACEAE4E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±</w:t>
                  </w:r>
                  <w:r>
                    <w:rPr>
                      <w:sz w:val="18"/>
                      <w:szCs w:val="18"/>
                    </w:rPr>
                    <w:t>200mA</w:t>
                  </w:r>
                </w:p>
              </w:tc>
              <w:tc>
                <w:tcPr>
                  <w:tcW w:w="774" w:type="dxa"/>
                  <w:vMerge w:val="continue"/>
                </w:tcPr>
                <w:p w14:paraId="6DBD41CD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7" w:type="dxa"/>
                  <w:vMerge w:val="continue"/>
                </w:tcPr>
                <w:p w14:paraId="6FBB81D8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64" w:type="dxa"/>
                </w:tcPr>
                <w:p w14:paraId="5286F351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≤2ppm/K</w:t>
                  </w:r>
                </w:p>
              </w:tc>
              <w:tc>
                <w:tcPr>
                  <w:tcW w:w="823" w:type="dxa"/>
                  <w:vMerge w:val="continue"/>
                </w:tcPr>
                <w:p w14:paraId="040AC960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</w:p>
              </w:tc>
            </w:tr>
            <w:tr w14:paraId="54BC29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3" w:hRule="atLeast"/>
              </w:trPr>
              <w:tc>
                <w:tcPr>
                  <w:tcW w:w="700" w:type="dxa"/>
                </w:tcPr>
                <w:p w14:paraId="653B777F">
                  <w:pPr>
                    <w:widowControl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67" w:type="dxa"/>
                  <w:vAlign w:val="center"/>
                </w:tcPr>
                <w:p w14:paraId="7A7D973F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677" w:type="dxa"/>
                  <w:vAlign w:val="center"/>
                </w:tcPr>
                <w:p w14:paraId="19D4C0DD">
                  <w:pPr>
                    <w:widowControl/>
                    <w:adjustRightInd w:val="0"/>
                    <w:snapToGri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±700A</w:t>
                  </w:r>
                </w:p>
              </w:tc>
              <w:tc>
                <w:tcPr>
                  <w:tcW w:w="932" w:type="dxa"/>
                  <w:vAlign w:val="center"/>
                </w:tcPr>
                <w:p w14:paraId="4A901A51">
                  <w:pPr>
                    <w:autoSpaceDE w:val="0"/>
                    <w:autoSpaceDN w:val="0"/>
                    <w:adjustRightIn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±4</w:t>
                  </w:r>
                  <w:r>
                    <w:rPr>
                      <w:sz w:val="18"/>
                      <w:szCs w:val="18"/>
                    </w:rPr>
                    <w:t>00mA</w:t>
                  </w:r>
                </w:p>
              </w:tc>
              <w:tc>
                <w:tcPr>
                  <w:tcW w:w="774" w:type="dxa"/>
                  <w:vMerge w:val="continue"/>
                </w:tcPr>
                <w:p w14:paraId="341B2B40">
                  <w:pPr>
                    <w:autoSpaceDE w:val="0"/>
                    <w:autoSpaceDN w:val="0"/>
                    <w:adjustRightIn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7" w:type="dxa"/>
                  <w:vMerge w:val="continue"/>
                </w:tcPr>
                <w:p w14:paraId="4BACB66B">
                  <w:pPr>
                    <w:autoSpaceDE w:val="0"/>
                    <w:autoSpaceDN w:val="0"/>
                    <w:adjustRightIn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64" w:type="dxa"/>
                </w:tcPr>
                <w:p w14:paraId="59A8AB35">
                  <w:pPr>
                    <w:autoSpaceDE w:val="0"/>
                    <w:autoSpaceDN w:val="0"/>
                    <w:adjustRightIn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≤0</w:t>
                  </w:r>
                  <w:r>
                    <w:rPr>
                      <w:rFonts w:hint="eastAsia"/>
                      <w:sz w:val="18"/>
                      <w:szCs w:val="18"/>
                    </w:rPr>
                    <w:t>.</w:t>
                  </w:r>
                  <w:r>
                    <w:rPr>
                      <w:sz w:val="18"/>
                      <w:szCs w:val="18"/>
                    </w:rPr>
                    <w:t>5ppm/K</w:t>
                  </w:r>
                </w:p>
              </w:tc>
              <w:tc>
                <w:tcPr>
                  <w:tcW w:w="823" w:type="dxa"/>
                  <w:vMerge w:val="continue"/>
                </w:tcPr>
                <w:p w14:paraId="0B6B9E7D">
                  <w:pPr>
                    <w:autoSpaceDE w:val="0"/>
                    <w:autoSpaceDN w:val="0"/>
                    <w:adjustRightInd w:val="0"/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1DFFB61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</w:p>
          <w:p w14:paraId="3BB16AEE">
            <w:p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63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7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CB51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38047952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交货期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：4个月</w:t>
            </w:r>
          </w:p>
          <w:p w14:paraId="4540EC6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交付进度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：一次性交付</w:t>
            </w:r>
          </w:p>
          <w:p w14:paraId="0B83E9EC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付款方式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：甲方预付合同总金额的50%，货到甲方验收合格后支付合同总金额的50%</w:t>
            </w:r>
          </w:p>
          <w:p w14:paraId="09FE8312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验收指标及验收要求：货物符合上述要求，并提供出厂检测报告。</w:t>
            </w:r>
          </w:p>
          <w:p w14:paraId="10FCC30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阶段</w:t>
            </w:r>
            <w:r>
              <w:rPr>
                <w:rFonts w:ascii="Times New Roman" w:hAnsi="Times New Roman" w:eastAsia="宋体" w:cs="Times New Roman"/>
                <w:szCs w:val="24"/>
              </w:rPr>
              <w:t>性检查要求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：无</w:t>
            </w:r>
          </w:p>
          <w:p w14:paraId="1EC897C4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保修</w:t>
            </w:r>
            <w:r>
              <w:rPr>
                <w:rFonts w:ascii="Times New Roman" w:hAnsi="Times New Roman" w:eastAsia="宋体" w:cs="Times New Roman"/>
                <w:szCs w:val="24"/>
              </w:rPr>
              <w:t>及售后服务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：自验收之日起质保一年，质保期内发生质量问题的，乙方应自接到甲方异议之日起3个工作日响应并提出有效解决方案，所产生的费用乙方承担。乙方提供必要的技术支持，确保甲方能够及时有效的使用设备。</w:t>
            </w:r>
          </w:p>
          <w:p w14:paraId="4B791A3A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其它：无</w:t>
            </w:r>
          </w:p>
          <w:p w14:paraId="5D2057A1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3CCE9F25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0209112D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30E4A99D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5DBC183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6B157C36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Cs w:val="24"/>
              </w:rPr>
            </w:pPr>
          </w:p>
        </w:tc>
        <w:tc>
          <w:tcPr>
            <w:tcW w:w="93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63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22DF0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5285B"/>
    <w:rsid w:val="00557439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285B"/>
    <w:rsid w:val="00B7785A"/>
    <w:rsid w:val="00BC2767"/>
    <w:rsid w:val="00C1298E"/>
    <w:rsid w:val="00C26D9F"/>
    <w:rsid w:val="00C442AD"/>
    <w:rsid w:val="00CA3288"/>
    <w:rsid w:val="00CC53BB"/>
    <w:rsid w:val="00D011DC"/>
    <w:rsid w:val="00D04097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  <w:rsid w:val="0AB0272F"/>
    <w:rsid w:val="20E51AC6"/>
    <w:rsid w:val="4095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339</Words>
  <Characters>433</Characters>
  <Lines>1</Lines>
  <Paragraphs>1</Paragraphs>
  <TotalTime>0</TotalTime>
  <ScaleCrop>false</ScaleCrop>
  <LinksUpToDate>false</LinksUpToDate>
  <CharactersWithSpaces>468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amour</cp:lastModifiedBy>
  <dcterms:modified xsi:type="dcterms:W3CDTF">2025-06-11T03:26:51Z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eyJoZGlkIjoiN2RmNGQ2MDc0ZGFiNmIyNjNmMmJiNzcxMzg1OWQzY2YiLCJ1c2VySWQiOiIxMDQxNDY4Njc5In0=</vt:lpwstr>
  </property>
  <property fmtid="{D5CDD505-2E9C-101B-9397-08002B2CF9AE}" pid="3" name="KSOProductBuildVer">
    <vt:lpwstr>2052-12.1.0.21541</vt:lpwstr>
  </property>
  <property fmtid="{D5CDD505-2E9C-101B-9397-08002B2CF9AE}" pid="4" name="ICV">
    <vt:lpwstr>00075E8F04034A0DAD6975C0688E324A_13</vt:lpwstr>
  </property>
</Properties>
</file>