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差分残余气体分析仪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D60590">
            <w:pPr>
              <w:tabs>
                <w:tab w:val="left" w:pos="6915"/>
              </w:tabs>
              <w:spacing w:line="240" w:lineRule="auto"/>
              <w:ind w:firstLine="420" w:firstLineChars="2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为了满足合肥先进光源批量镀膜中等离子体清洗</w:t>
            </w:r>
            <w:r>
              <w:rPr>
                <w:rFonts w:ascii="宋体" w:hAnsi="宋体"/>
                <w:bCs/>
                <w:szCs w:val="21"/>
              </w:rPr>
              <w:t>工艺</w:t>
            </w:r>
            <w:r>
              <w:rPr>
                <w:rFonts w:hint="eastAsia" w:ascii="宋体" w:hAnsi="宋体"/>
                <w:bCs/>
                <w:szCs w:val="21"/>
              </w:rPr>
              <w:t>对</w:t>
            </w:r>
            <w:r>
              <w:rPr>
                <w:rFonts w:ascii="宋体" w:hAnsi="宋体"/>
                <w:bCs/>
                <w:szCs w:val="21"/>
              </w:rPr>
              <w:t>腔体内气体成分实时监测与分析的需求</w:t>
            </w:r>
            <w:r>
              <w:rPr>
                <w:rFonts w:hint="eastAsia" w:ascii="宋体" w:hAnsi="宋体"/>
                <w:bCs/>
                <w:szCs w:val="21"/>
              </w:rPr>
              <w:t>，需</w:t>
            </w:r>
            <w:r>
              <w:rPr>
                <w:rFonts w:ascii="宋体" w:hAnsi="宋体"/>
                <w:bCs/>
                <w:szCs w:val="21"/>
              </w:rPr>
              <w:t>配置</w:t>
            </w:r>
            <w:r>
              <w:rPr>
                <w:rFonts w:hint="eastAsia" w:ascii="宋体" w:hAnsi="宋体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套差分残余气体分析仪</w:t>
            </w:r>
            <w:r>
              <w:rPr>
                <w:rFonts w:hint="eastAsia" w:ascii="宋体" w:hAnsi="宋体"/>
                <w:bCs/>
                <w:szCs w:val="21"/>
              </w:rPr>
              <w:t>仪，</w:t>
            </w:r>
            <w:r>
              <w:rPr>
                <w:rFonts w:ascii="宋体" w:hAnsi="宋体"/>
                <w:bCs/>
                <w:szCs w:val="21"/>
              </w:rPr>
              <w:t>该系统应能够实现镀膜前腔体残余气体的定性、定量分析，以及等离子体清洗过程中气体组分的在线监测，用于评价腔体真空状态及等离子体清洗效果。为提高设备使用效率，并实现残余气体分析仪在不同镀膜设备之间的快速切换，同时避免更换分析仪过程中破坏镀膜腔体原有真空环境，每台镀膜设备应配置一个用于RGA连接与隔离的角阀。差分残余气体分析仪应采用模块化、独立式结构，可作为完整系统整体安装和拆卸，并适用于不同镀膜设备之间的转接与测量。</w:t>
            </w:r>
          </w:p>
          <w:p w14:paraId="2D6C244C">
            <w:pPr>
              <w:tabs>
                <w:tab w:val="left" w:pos="6915"/>
              </w:tabs>
              <w:spacing w:line="240" w:lineRule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主要技术参数及功能要求如下：</w:t>
            </w:r>
          </w:p>
          <w:p w14:paraId="0272EA4B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差分真空系统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系统应具有独立的真空抽气能力，</w:t>
            </w:r>
            <w:r>
              <w:rPr>
                <w:rFonts w:hint="eastAsia" w:ascii="宋体" w:hAnsi="宋体"/>
                <w:bCs/>
                <w:szCs w:val="21"/>
              </w:rPr>
              <w:t>要求</w:t>
            </w:r>
            <w:r>
              <w:rPr>
                <w:rFonts w:ascii="宋体" w:hAnsi="宋体"/>
                <w:bCs/>
                <w:szCs w:val="21"/>
              </w:rPr>
              <w:t>差分系统工作真空度：＜5×10</w:t>
            </w:r>
            <w:r>
              <w:rPr>
                <w:rFonts w:hint="eastAsia" w:ascii="Cambria Math" w:hAnsi="Cambria Math" w:cs="Cambria Math"/>
                <w:bCs/>
                <w:szCs w:val="21"/>
                <w:vertAlign w:val="superscript"/>
              </w:rPr>
              <w:t>-5</w:t>
            </w:r>
            <w:r>
              <w:rPr>
                <w:rFonts w:ascii="宋体" w:hAnsi="宋体"/>
                <w:bCs/>
                <w:szCs w:val="21"/>
              </w:rPr>
              <w:t xml:space="preserve"> Pa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配备无油独立分子泵组</w:t>
            </w:r>
            <w:r>
              <w:rPr>
                <w:rFonts w:hint="eastAsia" w:ascii="宋体" w:hAnsi="宋体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N</w:t>
            </w:r>
            <w:r>
              <w:rPr>
                <w:rFonts w:ascii="Cambria Math" w:hAnsi="Cambria Math" w:cs="Cambria Math"/>
                <w:bCs/>
                <w:szCs w:val="21"/>
              </w:rPr>
              <w:t>₂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抽速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＞</w:t>
            </w:r>
            <w:r>
              <w:rPr>
                <w:rFonts w:ascii="宋体" w:hAnsi="宋体"/>
                <w:bCs/>
                <w:szCs w:val="21"/>
              </w:rPr>
              <w:t>65 L/s</w:t>
            </w:r>
            <w:r>
              <w:rPr>
                <w:rFonts w:hint="eastAsia" w:ascii="宋体" w:hAnsi="宋体"/>
                <w:bCs/>
                <w:szCs w:val="21"/>
              </w:rPr>
              <w:t>，前级配隔膜式干泵）</w:t>
            </w:r>
            <w:r>
              <w:rPr>
                <w:rFonts w:ascii="宋体" w:hAnsi="宋体"/>
                <w:bCs/>
                <w:szCs w:val="21"/>
              </w:rPr>
              <w:t>，确保分析系统具有洁净、稳定的高真空环境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避免RGA工作时对被测镀膜腔体真空造成明显影响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3FCD1894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残余气体分析功能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质量数检测范围：1–200 amu；配备电子倍增器（EM），满足低分压残余气体的检测需求；应具备残余气体的定性分析和定量分析功能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应能够对等离子体清洗过程中气体组分及其相对含量变化进行在线、连续监测。</w:t>
            </w:r>
          </w:p>
          <w:p w14:paraId="5DF8BACE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差分进气及流导调节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配备可调节的差分进气/限流结构</w:t>
            </w:r>
            <w:r>
              <w:rPr>
                <w:rFonts w:hint="eastAsia" w:ascii="宋体" w:hAnsi="宋体"/>
                <w:bCs/>
                <w:szCs w:val="21"/>
              </w:rPr>
              <w:t>，要求接口 DN16CF、</w:t>
            </w:r>
            <w:r>
              <w:rPr>
                <w:rFonts w:ascii="宋体" w:hAnsi="宋体"/>
                <w:bCs/>
                <w:szCs w:val="21"/>
              </w:rPr>
              <w:t>流导应能够进行手动调节</w:t>
            </w:r>
            <w:r>
              <w:rPr>
                <w:rFonts w:hint="eastAsia" w:ascii="宋体" w:hAnsi="宋体"/>
                <w:bCs/>
                <w:szCs w:val="21"/>
              </w:rPr>
              <w:t>、全金属阀，</w:t>
            </w:r>
            <w:r>
              <w:rPr>
                <w:rFonts w:hint="eastAsia" w:ascii="宋体" w:hAnsi="宋体"/>
                <w:szCs w:val="21"/>
              </w:rPr>
              <w:t>阀体及关闭状态漏率≤1E-10mbar·L/s；在1bar的室温下可调节气体流量为</w:t>
            </w:r>
            <w:r>
              <w:rPr>
                <w:rFonts w:ascii="宋体" w:hAnsi="宋体"/>
                <w:szCs w:val="21"/>
              </w:rPr>
              <w:t>1E-10</w:t>
            </w:r>
            <w:r>
              <w:rPr>
                <w:rFonts w:hint="eastAsia" w:ascii="宋体" w:hAnsi="宋体"/>
                <w:szCs w:val="21"/>
              </w:rPr>
              <w:t>~500</w:t>
            </w:r>
            <w:r>
              <w:rPr>
                <w:rFonts w:ascii="宋体" w:hAnsi="宋体"/>
                <w:szCs w:val="21"/>
              </w:rPr>
              <w:t>mbar·L/s</w:t>
            </w:r>
            <w:r>
              <w:rPr>
                <w:rFonts w:hint="eastAsia" w:ascii="宋体" w:hAnsi="宋体"/>
                <w:szCs w:val="21"/>
              </w:rPr>
              <w:t>；压力范围为超高真空到10bar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</w:p>
          <w:p w14:paraId="2A60873F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40" w:lineRule="auto"/>
              <w:ind w:firstLineChars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真空测量与监控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配备全量程真空规管</w:t>
            </w:r>
            <w:r>
              <w:rPr>
                <w:rFonts w:hint="eastAsia" w:ascii="宋体" w:hAnsi="宋体"/>
                <w:bCs/>
                <w:szCs w:val="21"/>
              </w:rPr>
              <w:t>（测量范围为大气压至 UHV 全量程覆盖）</w:t>
            </w:r>
            <w:r>
              <w:rPr>
                <w:rFonts w:ascii="宋体" w:hAnsi="宋体"/>
                <w:bCs/>
                <w:szCs w:val="21"/>
              </w:rPr>
              <w:t>，用于实时监测差分系统的真空度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为RGA工作状态及差分压力的判断提供依据。</w:t>
            </w:r>
          </w:p>
          <w:p w14:paraId="0B83F0D5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系统可移植性及真空隔离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RGA系统应采用一体化、模块化设计，能够作为完整设备整体转移并连接至其他镀膜设备；各镀膜设备预留独立RGA接口，并配置角阀实现RGA与镀膜腔体之间的真空隔离</w:t>
            </w:r>
            <w:r>
              <w:rPr>
                <w:rFonts w:hint="eastAsia" w:ascii="宋体" w:hAnsi="宋体"/>
                <w:bCs/>
                <w:szCs w:val="21"/>
              </w:rPr>
              <w:t>，全金属角阀要求</w:t>
            </w:r>
            <w:r>
              <w:rPr>
                <w:rFonts w:ascii="宋体" w:hAnsi="宋体"/>
                <w:bCs/>
                <w:szCs w:val="21"/>
              </w:rPr>
              <w:t>接口 DN40CF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rFonts w:ascii="宋体" w:hAnsi="宋体"/>
                <w:bCs/>
                <w:szCs w:val="21"/>
              </w:rPr>
              <w:t>手动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  <w:r>
              <w:rPr>
                <w:rFonts w:hint="eastAsia" w:ascii="宋体" w:hAnsi="宋体"/>
                <w:szCs w:val="21"/>
              </w:rPr>
              <w:t>阀体及关闭状态漏率≤1E-10mbar·L/s；</w:t>
            </w:r>
            <w:r>
              <w:rPr>
                <w:rFonts w:ascii="宋体" w:hAnsi="宋体"/>
                <w:szCs w:val="21"/>
              </w:rPr>
              <w:t>压力范围为</w:t>
            </w:r>
            <w:r>
              <w:rPr>
                <w:rFonts w:hint="eastAsia" w:ascii="宋体" w:hAnsi="宋体"/>
                <w:szCs w:val="21"/>
              </w:rPr>
              <w:t>极高</w:t>
            </w:r>
            <w:r>
              <w:rPr>
                <w:rFonts w:ascii="宋体" w:hAnsi="宋体"/>
                <w:szCs w:val="21"/>
              </w:rPr>
              <w:t>真空到10bar</w:t>
            </w:r>
            <w:r>
              <w:rPr>
                <w:rFonts w:hint="eastAsia" w:ascii="宋体" w:hAnsi="宋体"/>
                <w:szCs w:val="21"/>
              </w:rPr>
              <w:t>；</w:t>
            </w:r>
            <w:bookmarkStart w:id="0" w:name="OLE_LINK2"/>
            <w:r>
              <w:rPr>
                <w:rFonts w:ascii="宋体" w:hAnsi="宋体"/>
                <w:szCs w:val="21"/>
              </w:rPr>
              <w:t>烘烤温度≥300℃</w:t>
            </w:r>
            <w:bookmarkEnd w:id="0"/>
            <w:r>
              <w:rPr>
                <w:rFonts w:ascii="宋体" w:hAnsi="宋体"/>
                <w:bCs/>
                <w:szCs w:val="21"/>
              </w:rPr>
              <w:t>；在更换或拆卸RGA时，通过关闭角阀实现不破坏镀膜腔体原有真空，提高设备利用率及批量镀膜生产效率；系统与镀膜设备连接接口、法兰规格及真空密封形式应满足超高真空系统使用要求。</w:t>
            </w:r>
          </w:p>
          <w:p w14:paraId="550FAF69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F6AC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自合同签订之日起15天内，完成所有货物的交付并通过验收。</w:t>
            </w:r>
          </w:p>
          <w:p w14:paraId="770FB05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交付地点：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安徽省合肥市中国科学技术大学合肥先进光源园区。</w:t>
            </w:r>
          </w:p>
          <w:p w14:paraId="4758089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自合同签订之日起15天内，完成所有货物的交付并通过验收。</w:t>
            </w:r>
          </w:p>
          <w:p w14:paraId="0DFD5284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货物全部交付并通过验收后，支付合同总价的100%。</w:t>
            </w:r>
          </w:p>
          <w:p w14:paraId="22EE4B3F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提供产品合格证。</w:t>
            </w:r>
          </w:p>
          <w:p w14:paraId="570E681A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质保期3年。</w:t>
            </w:r>
          </w:p>
          <w:p w14:paraId="2DA4E156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82C11"/>
    <w:multiLevelType w:val="multilevel"/>
    <w:tmpl w:val="5B382C11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10D1FF5"/>
    <w:rsid w:val="0C7718F8"/>
    <w:rsid w:val="2D070EC5"/>
    <w:rsid w:val="46BB5348"/>
    <w:rsid w:val="51936088"/>
    <w:rsid w:val="62C9117E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1101</Words>
  <Characters>1192</Characters>
  <Lines>4</Lines>
  <Paragraphs>1</Paragraphs>
  <TotalTime>0</TotalTime>
  <ScaleCrop>false</ScaleCrop>
  <LinksUpToDate>false</LinksUpToDate>
  <CharactersWithSpaces>1231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2026-09-15T09:07:42Z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