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bookmarkStart w:id="5" w:name="_GoBack"/>
      <w:r>
        <w:rPr>
          <w:rFonts w:hint="eastAsia"/>
          <w:sz w:val="36"/>
        </w:rPr>
        <w:t>技术指标供应商确认表</w:t>
      </w:r>
    </w:p>
    <w:bookmarkEnd w:id="5"/>
    <w:p w14:paraId="3E58F52B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105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105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8E1695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质量分析器组件</w:t>
            </w:r>
          </w:p>
        </w:tc>
        <w:tc>
          <w:tcPr>
            <w:tcW w:w="5105" w:type="dxa"/>
            <w:vAlign w:val="center"/>
          </w:tcPr>
          <w:p w14:paraId="13FAFF82">
            <w:pPr>
              <w:tabs>
                <w:tab w:val="left" w:pos="6915"/>
              </w:tabs>
              <w:jc w:val="left"/>
              <w:rPr>
                <w:bCs/>
                <w:sz w:val="24"/>
                <w:szCs w:val="24"/>
              </w:rPr>
            </w:pPr>
          </w:p>
          <w:p w14:paraId="13E93CD6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bookmarkStart w:id="0" w:name="OLE_LINK7"/>
            <w:bookmarkStart w:id="1" w:name="OLE_LINK8"/>
            <w:r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1、按图纸加工零件，零件表面不得有明显划痕，精密零件超声清洗后，组装捡漏，漏率低于2.0E-8 Pa.m3/s；</w:t>
            </w:r>
          </w:p>
          <w:p w14:paraId="4B82DA2B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  <w:t>配备ADC采集卡，</w:t>
            </w:r>
            <w:bookmarkStart w:id="2" w:name="OLE_LINK2"/>
            <w:bookmarkStart w:id="3" w:name="OLE_LINK1"/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  <w:t>采样率4GS/s，带宽2GHz</w:t>
            </w:r>
            <w:bookmarkEnd w:id="2"/>
            <w:bookmarkEnd w:id="3"/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  <w:t>；</w:t>
            </w:r>
          </w:p>
          <w:p w14:paraId="5325D45D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  <w:t>离子探测器配备4片Φ25/6-4μm微通道板；</w:t>
            </w:r>
          </w:p>
          <w:p w14:paraId="7C69FC77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  <w:t>质量分析器质量分辨大于8000，基于单光子电离，检测灵敏度大于10ppb</w:t>
            </w:r>
            <w:bookmarkEnd w:id="0"/>
            <w:bookmarkEnd w:id="1"/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  <w:t>，提供测试方法与报告。</w:t>
            </w:r>
          </w:p>
          <w:p w14:paraId="4E393D2E">
            <w:pPr>
              <w:tabs>
                <w:tab w:val="left" w:pos="6915"/>
              </w:tabs>
              <w:jc w:val="left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1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8ECB51">
            <w:pPr>
              <w:tabs>
                <w:tab w:val="left" w:pos="6915"/>
              </w:tabs>
              <w:spacing w:line="240" w:lineRule="atLeas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37EEEDF7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交货期：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合同签订后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个月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内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。</w:t>
            </w:r>
          </w:p>
          <w:p w14:paraId="6BF9AA2E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交付进度：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加工2个月，调试及测试2个月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  <w:t>。</w:t>
            </w:r>
          </w:p>
          <w:p w14:paraId="79D9F38E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付款方式：</w:t>
            </w:r>
            <w:bookmarkStart w:id="4" w:name="_Hlk201049462"/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  <w:t>合同签订后支付合同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总额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  <w:t>的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  <w:t>0%，设备到货并调试验收合格后，</w:t>
            </w:r>
            <w:bookmarkEnd w:id="4"/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支付合同尾款。</w:t>
            </w:r>
          </w:p>
          <w:p w14:paraId="6EEB130B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验收指标及验收要求：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  <w:t>提供测试报告，满足技术参数要求</w:t>
            </w:r>
            <w:r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eastAsia="zh-CN"/>
              </w:rPr>
              <w:t>。</w:t>
            </w:r>
          </w:p>
          <w:p w14:paraId="487DE522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阶段性检查要求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  <w:t>：定期提供项目进展，关键节点提供进展报告</w:t>
            </w:r>
            <w:r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eastAsia="zh-CN"/>
              </w:rPr>
              <w:t>。</w:t>
            </w:r>
          </w:p>
          <w:p w14:paraId="67F89D42">
            <w:pPr>
              <w:tabs>
                <w:tab w:val="left" w:pos="6915"/>
              </w:tabs>
              <w:spacing w:line="240" w:lineRule="atLeast"/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保修及售后服务：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质保期1年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。</w:t>
            </w:r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6DFFEB29">
      <w:pPr>
        <w:ind w:right="840"/>
        <w:rPr>
          <w:sz w:val="22"/>
          <w:szCs w:val="22"/>
        </w:rPr>
      </w:pPr>
    </w:p>
    <w:p w14:paraId="0DED7F3B">
      <w:pPr>
        <w:ind w:right="840" w:firstLine="4620" w:firstLineChars="2100"/>
        <w:rPr>
          <w:sz w:val="22"/>
          <w:szCs w:val="22"/>
        </w:rPr>
      </w:pPr>
    </w:p>
    <w:p w14:paraId="3B337994">
      <w:pPr>
        <w:ind w:right="840" w:firstLine="4620" w:firstLineChars="2100"/>
        <w:rPr>
          <w:sz w:val="22"/>
          <w:szCs w:val="22"/>
        </w:rPr>
      </w:pPr>
    </w:p>
    <w:p w14:paraId="6B36AD4F">
      <w:pPr>
        <w:ind w:right="840" w:firstLine="4620" w:firstLineChars="2100"/>
        <w:rPr>
          <w:sz w:val="22"/>
          <w:szCs w:val="22"/>
        </w:rPr>
      </w:pPr>
      <w:r>
        <w:rPr>
          <w:sz w:val="22"/>
          <w:szCs w:val="22"/>
        </w:rPr>
        <w:t>公司名称</w:t>
      </w:r>
      <w:r>
        <w:rPr>
          <w:rFonts w:hint="eastAsia"/>
          <w:sz w:val="22"/>
          <w:szCs w:val="22"/>
        </w:rPr>
        <w:t>（盖章）：</w:t>
      </w:r>
    </w:p>
    <w:p w14:paraId="3E9432A4">
      <w:pPr>
        <w:ind w:right="840"/>
        <w:jc w:val="center"/>
        <w:rPr>
          <w:sz w:val="24"/>
        </w:rPr>
      </w:pPr>
      <w:r>
        <w:rPr>
          <w:rFonts w:hint="eastAsia"/>
          <w:sz w:val="22"/>
          <w:szCs w:val="22"/>
        </w:rPr>
        <w:t xml:space="preserve"> </w:t>
      </w:r>
      <w:r>
        <w:rPr>
          <w:sz w:val="22"/>
          <w:szCs w:val="22"/>
        </w:rPr>
        <w:t xml:space="preserve">                            日期</w:t>
      </w:r>
      <w:r>
        <w:rPr>
          <w:rFonts w:hint="eastAsia"/>
          <w:sz w:val="22"/>
          <w:szCs w:val="22"/>
        </w:rPr>
        <w:t>：</w:t>
      </w:r>
    </w:p>
    <w:p w14:paraId="193DE2A2"/>
    <w:p w14:paraId="68BCE69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BB4E07"/>
    <w:rsid w:val="1DBB4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2025-11-26T06:18:00Z</dcterms:created>
  <dc:creator>amour</dc:creator>
  <cp:lastModifiedBy>amour</cp:lastModifiedBy>
  <dcterms:modified xsi:type="dcterms:W3CDTF">2025-11-26T06:21:02Z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CEFE1B9DD1824F86B859D75D30397E1C_11</vt:lpwstr>
  </property>
  <property fmtid="{D5CDD505-2E9C-101B-9397-08002B2CF9AE}" pid="4" name="KSOTemplateDocerSaveRecord">
    <vt:lpwstr>eyJoZGlkIjoiN2RmNGQ2MDc0ZGFiNmIyNjNmMmJiNzcxMzg1OWQzY2YiLCJ1c2VySWQiOiIxMDQxNDY4Njc5In0=</vt:lpwstr>
  </property>
</Properties>
</file>