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脉冲电源监控柜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EF9C7C2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拟采购的脉冲电源监控柜实现6台高压充电电源的控制（包括模拟量和数字通讯两种方式）、6台脉冲放电柜的时序分配（需采用带有外部同步的高精度定时分配器）、6台脉冲放电柜的控制（功能包括：配电、遥控开关、状态量读取、安全联锁）以及6台放电柜输出脉冲电流的实时监测，除此之外，还应包括现场的布线（线缆长度约2</w:t>
            </w:r>
            <w:r>
              <w:rPr>
                <w:bCs/>
                <w:szCs w:val="21"/>
              </w:rPr>
              <w:t>0</w:t>
            </w:r>
            <w:r>
              <w:rPr>
                <w:rFonts w:hint="eastAsia"/>
                <w:bCs/>
                <w:szCs w:val="21"/>
              </w:rPr>
              <w:t>米）、调试等工作。</w:t>
            </w:r>
          </w:p>
          <w:p w14:paraId="1F7109B0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详细要求如下：</w:t>
            </w:r>
          </w:p>
          <w:p w14:paraId="4E8D5EDB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1、机柜布局要求</w:t>
            </w:r>
          </w:p>
          <w:p w14:paraId="207CE10F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脉冲电源监控柜采用三台机柜，机柜内各插箱的布局要求如图1所示，</w:t>
            </w:r>
            <w:r>
              <w:rPr>
                <w:rFonts w:hint="eastAsia"/>
                <w:bCs/>
                <w:szCs w:val="21"/>
              </w:rPr>
              <w:t>三</w:t>
            </w:r>
            <w:r>
              <w:rPr>
                <w:bCs/>
                <w:szCs w:val="21"/>
              </w:rPr>
              <w:t>台机柜</w:t>
            </w:r>
            <w:r>
              <w:rPr>
                <w:rFonts w:hint="eastAsia"/>
                <w:bCs/>
                <w:szCs w:val="21"/>
              </w:rPr>
              <w:t>参数</w:t>
            </w:r>
            <w:r>
              <w:rPr>
                <w:bCs/>
                <w:szCs w:val="21"/>
              </w:rPr>
              <w:t>要求</w:t>
            </w:r>
            <w:r>
              <w:rPr>
                <w:rFonts w:hint="eastAsia"/>
                <w:bCs/>
                <w:szCs w:val="21"/>
              </w:rPr>
              <w:t>：</w:t>
            </w:r>
            <w:r>
              <w:rPr>
                <w:bCs/>
                <w:szCs w:val="21"/>
              </w:rPr>
              <w:t>机柜高度≥1600 mm，机柜内宽≥450 mm，深度≥750 mm，</w:t>
            </w:r>
            <w:r>
              <w:rPr>
                <w:rFonts w:hint="eastAsia"/>
                <w:bCs/>
                <w:szCs w:val="21"/>
              </w:rPr>
              <w:t>其中</w:t>
            </w:r>
            <w:r>
              <w:rPr>
                <w:bCs/>
                <w:szCs w:val="21"/>
              </w:rPr>
              <w:t>一台机柜要求高度≥1850 mm</w:t>
            </w:r>
            <w:r>
              <w:rPr>
                <w:rFonts w:hint="eastAsia"/>
                <w:bCs/>
                <w:szCs w:val="21"/>
              </w:rPr>
              <w:t>；图1中的</w:t>
            </w:r>
            <w:r>
              <w:rPr>
                <w:bCs/>
                <w:szCs w:val="21"/>
              </w:rPr>
              <w:t>6台高压充电电源和示波器由采购方提供。</w:t>
            </w:r>
          </w:p>
          <w:p w14:paraId="71D2CCB2">
            <w:pPr>
              <w:tabs>
                <w:tab w:val="left" w:pos="6915"/>
              </w:tabs>
              <w:ind w:firstLine="420" w:firstLineChars="200"/>
              <w:jc w:val="center"/>
            </w:pPr>
            <w:r>
              <w:rPr>
                <w:rFonts w:hint="eastAsia"/>
              </w:rPr>
              <w:object>
                <v:shape id="_x0000_i1025" o:spt="75" type="#_x0000_t75" style="height:230.4pt;width:274.2pt;" o:ole="t" filled="f" o:preferrelative="t" stroked="f" coordsize="21600,21600">
                  <v:path/>
                  <v:fill on="f" focussize="0,0"/>
                  <v:stroke on="f" joinstyle="miter"/>
                  <v:imagedata r:id="rId5" cropleft="15390f" croptop="8891f" cropright="23800f" cropbottom="8428f" o:title=""/>
                  <o:lock v:ext="edit" aspectratio="t"/>
                  <w10:wrap type="none"/>
                  <w10:anchorlock/>
                </v:shape>
                <o:OLEObject Type="Embed" ProgID="AutoCAD.Drawing.24" ShapeID="_x0000_i1025" DrawAspect="Content" ObjectID="_1468075725" r:id="rId4">
                  <o:LockedField>false</o:LockedField>
                </o:OLEObject>
              </w:object>
            </w:r>
          </w:p>
          <w:p w14:paraId="3F03B71C">
            <w:pPr>
              <w:tabs>
                <w:tab w:val="left" w:pos="6915"/>
              </w:tabs>
              <w:ind w:firstLine="420" w:firstLineChars="200"/>
              <w:jc w:val="center"/>
            </w:pPr>
            <w:r>
              <w:rPr>
                <w:rFonts w:hint="eastAsia"/>
              </w:rPr>
              <w:t>图1</w:t>
            </w:r>
            <w:r>
              <w:t xml:space="preserve"> </w:t>
            </w:r>
            <w:r>
              <w:rPr>
                <w:rFonts w:hint="eastAsia"/>
              </w:rPr>
              <w:t>脉冲电源监控柜布局要求</w:t>
            </w:r>
          </w:p>
          <w:p w14:paraId="0C947D20">
            <w:pPr>
              <w:tabs>
                <w:tab w:val="left" w:pos="6915"/>
              </w:tabs>
              <w:ind w:firstLine="420" w:firstLineChars="200"/>
              <w:jc w:val="left"/>
            </w:pPr>
            <w:r>
              <w:rPr>
                <w:rFonts w:hint="eastAsia"/>
              </w:rPr>
              <w:t>2、控制器要求</w:t>
            </w:r>
          </w:p>
          <w:p w14:paraId="3790E0D5">
            <w:pPr>
              <w:tabs>
                <w:tab w:val="left" w:pos="6915"/>
              </w:tabs>
              <w:ind w:firstLine="420" w:firstLineChars="200"/>
              <w:jc w:val="left"/>
            </w:pPr>
            <w:r>
              <w:rPr>
                <w:rFonts w:hint="eastAsia"/>
              </w:rPr>
              <w:t>脉冲电源监控柜控制器需采用成熟的商业化产品，与高压充电电源之间的数字通讯采用SCPI协议，与高压充电电源之间的模拟量控制采用高分辨率数模转换，详细要求如下：</w:t>
            </w:r>
          </w:p>
          <w:p w14:paraId="4C0E2BA9">
            <w:pPr>
              <w:tabs>
                <w:tab w:val="left" w:pos="6915"/>
              </w:tabs>
              <w:ind w:firstLine="420" w:firstLineChars="200"/>
              <w:jc w:val="left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 xml:space="preserve">1  </w:t>
            </w:r>
            <w:r>
              <w:rPr>
                <w:rFonts w:hint="eastAsia"/>
              </w:rPr>
              <w:t>三台监控机柜的主从监控分机之间采用Ethe</w:t>
            </w:r>
            <w:r>
              <w:t>r</w:t>
            </w:r>
            <w:r>
              <w:rPr>
                <w:rFonts w:hint="eastAsia"/>
              </w:rPr>
              <w:t>C</w:t>
            </w:r>
            <w:r>
              <w:t>AT</w:t>
            </w:r>
            <w:r>
              <w:rPr>
                <w:rFonts w:hint="eastAsia"/>
              </w:rPr>
              <w:t>通讯协议；</w:t>
            </w:r>
          </w:p>
          <w:p w14:paraId="56ADDBE4">
            <w:pPr>
              <w:tabs>
                <w:tab w:val="left" w:pos="6915"/>
              </w:tabs>
              <w:ind w:firstLine="420" w:firstLineChars="200"/>
              <w:jc w:val="left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 xml:space="preserve">2 </w:t>
            </w:r>
            <w:r>
              <w:rPr>
                <w:rFonts w:hint="eastAsia"/>
              </w:rPr>
              <w:t>高压电源模拟量控制单元使用1</w:t>
            </w:r>
            <w:r>
              <w:t xml:space="preserve">6 </w:t>
            </w:r>
            <w:r>
              <w:rPr>
                <w:rFonts w:hint="eastAsia"/>
              </w:rPr>
              <w:t>bit以上分辨率的AD</w:t>
            </w:r>
            <w:r>
              <w:t>/DA</w:t>
            </w:r>
            <w:r>
              <w:rPr>
                <w:rFonts w:hint="eastAsia"/>
              </w:rPr>
              <w:t>；</w:t>
            </w:r>
          </w:p>
          <w:p w14:paraId="66D9B070">
            <w:pPr>
              <w:tabs>
                <w:tab w:val="left" w:pos="6915"/>
              </w:tabs>
              <w:ind w:firstLine="420" w:firstLineChars="200"/>
              <w:jc w:val="left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 xml:space="preserve">3 </w:t>
            </w:r>
            <w:r>
              <w:rPr>
                <w:rFonts w:hint="eastAsia"/>
              </w:rPr>
              <w:t>交付时提供监控系统内部完整的通讯协议，整个监控系统由控制器对外汇总为一个网络接口，通讯协议采用MODBUS TCP；</w:t>
            </w:r>
          </w:p>
          <w:p w14:paraId="4852A722">
            <w:pPr>
              <w:tabs>
                <w:tab w:val="left" w:pos="6915"/>
              </w:tabs>
              <w:ind w:firstLine="420" w:firstLineChars="200"/>
              <w:jc w:val="left"/>
            </w:pPr>
            <w:r>
              <w:rPr>
                <w:rFonts w:hint="eastAsia"/>
              </w:rPr>
              <w:t>2.</w:t>
            </w:r>
            <w:r>
              <w:t xml:space="preserve">4 </w:t>
            </w:r>
            <w:r>
              <w:rPr>
                <w:rFonts w:hint="eastAsia"/>
              </w:rPr>
              <w:t>本地控制器需使用7寸以上的触摸屏设计人机交互界面，具备远程/本地控制切换功能；</w:t>
            </w:r>
          </w:p>
          <w:p w14:paraId="25E29327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2.</w:t>
            </w:r>
            <w:r>
              <w:rPr>
                <w:bCs/>
                <w:szCs w:val="21"/>
              </w:rPr>
              <w:t xml:space="preserve">5 </w:t>
            </w:r>
            <w:r>
              <w:rPr>
                <w:rFonts w:hint="eastAsia"/>
                <w:bCs/>
                <w:szCs w:val="21"/>
              </w:rPr>
              <w:t>预留6通道示波器的放置位置，并在现场铺设BNC同轴连接线（监控机柜与脉冲电源之间，约2</w:t>
            </w:r>
            <w:r>
              <w:rPr>
                <w:bCs/>
                <w:szCs w:val="21"/>
              </w:rPr>
              <w:t>0</w:t>
            </w:r>
            <w:r>
              <w:rPr>
                <w:rFonts w:hint="eastAsia"/>
                <w:bCs/>
                <w:szCs w:val="21"/>
              </w:rPr>
              <w:t>米）。</w:t>
            </w:r>
          </w:p>
          <w:p w14:paraId="003403CE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2.</w:t>
            </w:r>
            <w:r>
              <w:rPr>
                <w:bCs/>
                <w:szCs w:val="21"/>
              </w:rPr>
              <w:t xml:space="preserve">6 </w:t>
            </w:r>
            <w:r>
              <w:rPr>
                <w:rFonts w:hint="eastAsia"/>
                <w:bCs/>
                <w:szCs w:val="21"/>
              </w:rPr>
              <w:t>实现6台脉冲放电柜的控制，包括：配电、遥控开关、状态量回读、安全联锁。接口为1</w:t>
            </w:r>
            <w:r>
              <w:rPr>
                <w:bCs/>
                <w:szCs w:val="21"/>
              </w:rPr>
              <w:t>0</w:t>
            </w:r>
            <w:r>
              <w:rPr>
                <w:rFonts w:hint="eastAsia"/>
                <w:bCs/>
                <w:szCs w:val="21"/>
              </w:rPr>
              <w:t>位航空插头，接口定义由采购方提供。</w:t>
            </w:r>
          </w:p>
          <w:p w14:paraId="6682B7FF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3、</w:t>
            </w:r>
            <w:bookmarkStart w:id="0" w:name="OLE_LINK1"/>
            <w:r>
              <w:rPr>
                <w:rFonts w:hint="eastAsia"/>
                <w:bCs/>
                <w:szCs w:val="21"/>
              </w:rPr>
              <w:t>高精度同步定时分配器</w:t>
            </w:r>
            <w:bookmarkEnd w:id="0"/>
          </w:p>
          <w:p w14:paraId="40865913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高精度同步定时分配器具备接收外部同步（单模光信号）定时功能，并产生8路单模光脉冲信号，要求每路光脉冲信号延迟、脉宽独立可调，延迟调节分辨率≤ </w:t>
            </w:r>
            <w:r>
              <w:rPr>
                <w:bCs/>
                <w:szCs w:val="21"/>
              </w:rPr>
              <w:t xml:space="preserve">250 </w:t>
            </w:r>
            <w:r>
              <w:rPr>
                <w:rFonts w:hint="eastAsia"/>
                <w:bCs/>
                <w:szCs w:val="21"/>
              </w:rPr>
              <w:t>ps，范围0-</w:t>
            </w:r>
            <w:r>
              <w:rPr>
                <w:bCs/>
                <w:szCs w:val="21"/>
              </w:rPr>
              <w:t xml:space="preserve">1000 </w:t>
            </w:r>
            <w:r>
              <w:rPr>
                <w:rFonts w:hint="eastAsia"/>
                <w:bCs/>
                <w:szCs w:val="21"/>
              </w:rPr>
              <w:t xml:space="preserve">s，抖动（RMS）≤ </w:t>
            </w:r>
            <w:r>
              <w:rPr>
                <w:bCs/>
                <w:szCs w:val="21"/>
              </w:rPr>
              <w:t xml:space="preserve">200 </w:t>
            </w:r>
            <w:r>
              <w:rPr>
                <w:rFonts w:hint="eastAsia"/>
                <w:bCs/>
                <w:szCs w:val="21"/>
              </w:rPr>
              <w:t>ps；脉宽调节分辨率≤5</w:t>
            </w:r>
            <w:r>
              <w:rPr>
                <w:bCs/>
                <w:szCs w:val="21"/>
              </w:rPr>
              <w:t xml:space="preserve">00 </w:t>
            </w:r>
            <w:r>
              <w:rPr>
                <w:rFonts w:hint="eastAsia"/>
                <w:bCs/>
                <w:szCs w:val="21"/>
              </w:rPr>
              <w:t>ps，精度≤1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ns。</w:t>
            </w:r>
          </w:p>
          <w:p w14:paraId="77EB5E2A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0D4A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个月内</w:t>
            </w:r>
          </w:p>
          <w:p w14:paraId="51A013A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供货方于合同生效之日起2个月内将货物送达至采购方指定地点。</w:t>
            </w:r>
          </w:p>
          <w:p w14:paraId="29855F9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货到验收合格后30个工作日内，支付全款。</w:t>
            </w:r>
          </w:p>
          <w:p w14:paraId="7CAFD9C5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4CEAA3A3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脉冲电源监控柜控制器需采用成熟的商业化产品，与高压充电电源之间的数字通讯采用SCPI协议，与高压充电电源之间的模拟量控制采用高分辨率数模转换，详细要求如下：</w:t>
            </w:r>
          </w:p>
          <w:p w14:paraId="60948C83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 三台监控机柜的主从监控分机之间采用EtherCAT通讯协议；</w:t>
            </w:r>
          </w:p>
          <w:p w14:paraId="3DDF77CC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 高压电源模拟量控制单元使用16 bit以上分辨率的AD/DA；</w:t>
            </w:r>
          </w:p>
          <w:p w14:paraId="4103B0C4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 交付时提供监控系统内部完整的通讯协议，整个监控系统由控制器对外汇总为一个网络接口，通讯协议采用MODBUS TCP；</w:t>
            </w:r>
          </w:p>
          <w:p w14:paraId="45A11902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 本地控制器需使用7寸以上的触摸屏设计人机交互界面，具备远程/本地控制切换功能；</w:t>
            </w:r>
          </w:p>
          <w:p w14:paraId="74D634B6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 xml:space="preserve"> 实现6台脉冲放电柜的控制，包括：配电、遥控开关、状态量回读、安全联锁。接口为10位航空插头，接口定义由采购方提供。</w:t>
            </w:r>
          </w:p>
          <w:p w14:paraId="4C2C69D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在设备部件加工完成后并在整体组装前进行阶段性检查。</w:t>
            </w:r>
          </w:p>
          <w:p w14:paraId="5EE544A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1C87BBE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产品质保期为12个月，时间自验收合格之日起计算。质保期内货物出现质量问题的，供货方应自接到采购方异议之日起 3日内以更换等方式解决，因此所发生的费用由供货方承担。供货方免费提供必要的技术咨询以确保采购方能安全、有效的使用标的货物。</w:t>
            </w:r>
          </w:p>
          <w:p w14:paraId="1AD95556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  <w:r>
              <w:rPr>
                <w:rFonts w:hint="eastAsia" w:ascii="宋体" w:hAnsi="宋体" w:cs="宋体"/>
                <w:bCs/>
                <w:szCs w:val="21"/>
              </w:rPr>
              <w:t>设计方案需要得到采购人书面批准方可加工。</w:t>
            </w:r>
            <w:bookmarkStart w:id="1" w:name="_GoBack"/>
            <w:bookmarkEnd w:id="1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116340B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2026-03-17T07:36:06Z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