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bookmarkStart w:id="0" w:name="_GoBack"/>
            <w:r>
              <w:rPr>
                <w:rFonts w:hint="eastAsia"/>
              </w:rPr>
              <w:t>任意波形发生器和信号源</w:t>
            </w:r>
            <w:bookmarkEnd w:id="0"/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AA18B78">
            <w:pPr>
              <w:tabs>
                <w:tab w:val="left" w:pos="6915"/>
              </w:tabs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射频信号源：</w:t>
            </w:r>
          </w:p>
          <w:p w14:paraId="2270630C">
            <w:pPr>
              <w:pStyle w:val="11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数量：1</w:t>
            </w:r>
            <w:r>
              <w:rPr>
                <w:rFonts w:hint="eastAsia"/>
                <w:lang w:val="en-US" w:eastAsia="zh-CN"/>
              </w:rPr>
              <w:t>台</w:t>
            </w:r>
            <w:r>
              <w:rPr>
                <w:rFonts w:hint="eastAsia"/>
              </w:rPr>
              <w:t>；</w:t>
            </w:r>
          </w:p>
          <w:p w14:paraId="4C947EED">
            <w:pPr>
              <w:pStyle w:val="11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最大输出频率≥</w:t>
            </w:r>
            <w:r>
              <w:t xml:space="preserve">6 </w:t>
            </w:r>
            <w:r>
              <w:rPr>
                <w:rFonts w:hint="eastAsia"/>
              </w:rPr>
              <w:t>GHz；</w:t>
            </w:r>
          </w:p>
          <w:p w14:paraId="77D63372">
            <w:pPr>
              <w:pStyle w:val="11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输出功率动态范围≥6</w:t>
            </w:r>
            <w:r>
              <w:t>0</w:t>
            </w:r>
            <w:r>
              <w:rPr>
                <w:rFonts w:hint="eastAsia"/>
              </w:rPr>
              <w:t>dBm；</w:t>
            </w:r>
          </w:p>
          <w:p w14:paraId="6F808516">
            <w:pPr>
              <w:pStyle w:val="11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相噪典型值＜7</w:t>
            </w:r>
            <w:r>
              <w:t>0</w:t>
            </w:r>
            <w:r>
              <w:rPr>
                <w:rFonts w:hint="eastAsia"/>
              </w:rPr>
              <w:t>dBc/</w:t>
            </w:r>
            <w:r>
              <w:t>Hz</w:t>
            </w:r>
            <w:r>
              <w:rPr>
                <w:rFonts w:hint="eastAsia"/>
              </w:rPr>
              <w:t>@</w:t>
            </w:r>
            <w:r>
              <w:t>500</w:t>
            </w:r>
            <w:r>
              <w:rPr>
                <w:rFonts w:hint="eastAsia"/>
              </w:rPr>
              <w:t>MHz；</w:t>
            </w:r>
          </w:p>
          <w:p w14:paraId="02F72936">
            <w:pPr>
              <w:pStyle w:val="11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支持信号调制功能；</w:t>
            </w:r>
          </w:p>
          <w:p w14:paraId="5EF4A4C7">
            <w:r>
              <w:rPr>
                <w:rFonts w:hint="eastAsia"/>
              </w:rPr>
              <w:t>任意波形发生器：</w:t>
            </w:r>
          </w:p>
          <w:p w14:paraId="6A624DEB">
            <w:pPr>
              <w:pStyle w:val="11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数量：1台；</w:t>
            </w:r>
          </w:p>
          <w:p w14:paraId="5854293B">
            <w:pPr>
              <w:pStyle w:val="11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信号带宽≥</w:t>
            </w:r>
            <w:r>
              <w:t xml:space="preserve">1 </w:t>
            </w:r>
            <w:r>
              <w:rPr>
                <w:rFonts w:hint="eastAsia"/>
              </w:rPr>
              <w:t>GHz；</w:t>
            </w:r>
          </w:p>
          <w:p w14:paraId="2FBE95C0">
            <w:pPr>
              <w:pStyle w:val="11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采样率≥</w:t>
            </w:r>
            <w:r>
              <w:t>2.5Gs</w:t>
            </w:r>
            <w:r>
              <w:rPr>
                <w:rFonts w:hint="eastAsia"/>
              </w:rPr>
              <w:t>p</w:t>
            </w:r>
            <w:r>
              <w:t>s</w:t>
            </w:r>
            <w:r>
              <w:rPr>
                <w:rFonts w:hint="eastAsia"/>
              </w:rPr>
              <w:t>；</w:t>
            </w:r>
          </w:p>
          <w:p w14:paraId="3D83AE02">
            <w:pPr>
              <w:pStyle w:val="11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位数≥1</w:t>
            </w:r>
            <w:r>
              <w:t>4</w:t>
            </w:r>
            <w:r>
              <w:rPr>
                <w:rFonts w:hint="eastAsia"/>
              </w:rPr>
              <w:t>bit；</w:t>
            </w:r>
          </w:p>
          <w:p w14:paraId="7FB75299">
            <w:pPr>
              <w:pStyle w:val="11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输出幅度范围≥3Vpp@</w:t>
            </w:r>
            <w:r>
              <w:t>1</w:t>
            </w:r>
            <w:r>
              <w:rPr>
                <w:rFonts w:hint="eastAsia"/>
              </w:rPr>
              <w:t>Hz~</w:t>
            </w:r>
            <w:r>
              <w:t>1</w:t>
            </w:r>
            <w:r>
              <w:rPr>
                <w:rFonts w:hint="eastAsia"/>
              </w:rPr>
              <w:t>MHz</w:t>
            </w:r>
          </w:p>
          <w:p w14:paraId="16BD4457">
            <w:pPr>
              <w:pStyle w:val="11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2通道且支持独立输出；</w:t>
            </w:r>
            <w:r>
              <w:t xml:space="preserve"> </w:t>
            </w:r>
          </w:p>
          <w:p w14:paraId="0291FAE6">
            <w:pPr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/>
              </w:rPr>
              <w:t>上述两设备至少有一个设备具有与外部时钟源锁相功能，且另一个设备能够提供该参考信号。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BEBD88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合同签订后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hint="eastAsia" w:ascii="宋体" w:hAnsi="宋体"/>
                <w:bCs/>
                <w:szCs w:val="21"/>
              </w:rPr>
              <w:t>个月内将货物送达至甲方指定地点</w:t>
            </w:r>
          </w:p>
          <w:p w14:paraId="1228CA04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甲方预付合同总金额的</w:t>
            </w:r>
            <w:r>
              <w:rPr>
                <w:rFonts w:ascii="宋体" w:hAnsi="宋体"/>
                <w:szCs w:val="21"/>
              </w:rPr>
              <w:t>4</w:t>
            </w:r>
            <w:r>
              <w:rPr>
                <w:rFonts w:hint="eastAsia" w:ascii="宋体" w:hAnsi="宋体"/>
                <w:szCs w:val="21"/>
              </w:rPr>
              <w:t>0%，设备到货且甲方验收合格后支付合同总金额的</w:t>
            </w:r>
            <w:r>
              <w:rPr>
                <w:rFonts w:ascii="宋体" w:hAnsi="宋体"/>
                <w:szCs w:val="21"/>
              </w:rPr>
              <w:t>6</w:t>
            </w:r>
            <w:r>
              <w:rPr>
                <w:rFonts w:hint="eastAsia" w:ascii="宋体" w:hAnsi="宋体"/>
                <w:szCs w:val="21"/>
              </w:rPr>
              <w:t>0%</w:t>
            </w:r>
          </w:p>
          <w:p w14:paraId="0058CF51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符合技术指标的合格证验收</w:t>
            </w:r>
          </w:p>
          <w:p w14:paraId="0E26B550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设备质保期-现场验收合格后1年</w:t>
            </w: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463C73"/>
    <w:multiLevelType w:val="multilevel"/>
    <w:tmpl w:val="03463C7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3652A4"/>
    <w:multiLevelType w:val="multilevel"/>
    <w:tmpl w:val="1D3652A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2FA11D61"/>
    <w:rsid w:val="46BB5348"/>
    <w:rsid w:val="5193608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434</Words>
  <Characters>486</Characters>
  <Lines>4</Lines>
  <Paragraphs>1</Paragraphs>
  <TotalTime>0</TotalTime>
  <ScaleCrop>false</ScaleCrop>
  <LinksUpToDate>false</LinksUpToDate>
  <CharactersWithSpaces>515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2026-05-12T06:49:34Z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