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3"/>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397"/>
        <w:gridCol w:w="5269"/>
        <w:gridCol w:w="1418"/>
        <w:gridCol w:w="992"/>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6" w:hRule="atLeast"/>
        </w:trPr>
        <w:tc>
          <w:tcPr>
            <w:tcW w:w="705" w:type="dxa"/>
            <w:vAlign w:val="center"/>
          </w:tcPr>
          <w:p w14:paraId="75C250BA">
            <w:pPr>
              <w:spacing w:line="240" w:lineRule="atLeast"/>
              <w:jc w:val="center"/>
              <w:rPr>
                <w:sz w:val="22"/>
              </w:rPr>
            </w:pPr>
            <w:r>
              <w:rPr>
                <w:rFonts w:hint="eastAsia"/>
                <w:sz w:val="22"/>
              </w:rPr>
              <w:t>序号</w:t>
            </w:r>
          </w:p>
        </w:tc>
        <w:tc>
          <w:tcPr>
            <w:tcW w:w="1397" w:type="dxa"/>
            <w:vAlign w:val="center"/>
          </w:tcPr>
          <w:p w14:paraId="3A9FF52B">
            <w:pPr>
              <w:spacing w:line="240" w:lineRule="atLeast"/>
              <w:jc w:val="center"/>
              <w:rPr>
                <w:sz w:val="22"/>
              </w:rPr>
            </w:pPr>
            <w:r>
              <w:rPr>
                <w:rFonts w:hint="eastAsia"/>
                <w:sz w:val="22"/>
              </w:rPr>
              <w:t>名称</w:t>
            </w:r>
          </w:p>
        </w:tc>
        <w:tc>
          <w:tcPr>
            <w:tcW w:w="5269" w:type="dxa"/>
            <w:vAlign w:val="center"/>
          </w:tcPr>
          <w:p w14:paraId="258D475E">
            <w:pPr>
              <w:spacing w:line="240" w:lineRule="atLeast"/>
              <w:jc w:val="center"/>
              <w:rPr>
                <w:sz w:val="22"/>
              </w:rPr>
            </w:pPr>
            <w:r>
              <w:rPr>
                <w:rFonts w:hint="eastAsia"/>
                <w:sz w:val="22"/>
              </w:rPr>
              <w:t>技术指标</w:t>
            </w:r>
          </w:p>
        </w:tc>
        <w:tc>
          <w:tcPr>
            <w:tcW w:w="1418"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992" w:type="dxa"/>
            <w:vAlign w:val="center"/>
          </w:tcPr>
          <w:p w14:paraId="22A89C1E">
            <w:pPr>
              <w:spacing w:line="240" w:lineRule="atLeast"/>
              <w:jc w:val="center"/>
              <w:rPr>
                <w:sz w:val="24"/>
              </w:rPr>
            </w:pPr>
            <w:r>
              <w:rPr>
                <w:rFonts w:hint="eastAsia"/>
                <w:sz w:val="21"/>
                <w:szCs w:val="21"/>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6" w:hRule="atLeast"/>
        </w:trPr>
        <w:tc>
          <w:tcPr>
            <w:tcW w:w="705" w:type="dxa"/>
            <w:vAlign w:val="center"/>
          </w:tcPr>
          <w:p w14:paraId="185CA09D">
            <w:pPr>
              <w:spacing w:line="240" w:lineRule="atLeast"/>
              <w:jc w:val="center"/>
            </w:pPr>
            <w:r>
              <w:rPr>
                <w:rFonts w:hint="eastAsia"/>
              </w:rPr>
              <w:t>1</w:t>
            </w:r>
          </w:p>
        </w:tc>
        <w:tc>
          <w:tcPr>
            <w:tcW w:w="1397" w:type="dxa"/>
            <w:tcBorders>
              <w:top w:val="single" w:color="auto" w:sz="4" w:space="0"/>
              <w:left w:val="single" w:color="auto" w:sz="4" w:space="0"/>
              <w:right w:val="single" w:color="auto" w:sz="4" w:space="0"/>
            </w:tcBorders>
            <w:shd w:val="clear" w:color="auto" w:fill="auto"/>
            <w:vAlign w:val="center"/>
          </w:tcPr>
          <w:p w14:paraId="348A5544">
            <w:pPr>
              <w:widowControl/>
              <w:spacing w:line="240" w:lineRule="atLeast"/>
              <w:jc w:val="center"/>
              <w:rPr>
                <w:rFonts w:hint="default" w:ascii="Times New Roman" w:hAnsi="Times New Roman" w:eastAsia="宋体" w:cs="Times New Roman"/>
                <w:sz w:val="21"/>
                <w:szCs w:val="21"/>
                <w:lang w:val="en-US" w:eastAsia="zh-CN"/>
              </w:rPr>
            </w:pPr>
            <w:r>
              <w:rPr>
                <w:rFonts w:hint="eastAsia" w:ascii="宋体" w:hAnsi="宋体" w:eastAsia="宋体" w:cs="宋体"/>
                <w:b w:val="0"/>
                <w:bCs/>
                <w:sz w:val="21"/>
                <w:szCs w:val="21"/>
                <w:lang w:val="en-US" w:eastAsia="zh-CN"/>
              </w:rPr>
              <w:t>上样机械臂系统</w:t>
            </w:r>
            <w:bookmarkStart w:id="0" w:name="_GoBack"/>
            <w:bookmarkEnd w:id="0"/>
          </w:p>
        </w:tc>
        <w:tc>
          <w:tcPr>
            <w:tcW w:w="5269" w:type="dxa"/>
            <w:vAlign w:val="center"/>
          </w:tcPr>
          <w:p w14:paraId="73F742A0">
            <w:pPr>
              <w:adjustRightInd w:val="0"/>
              <w:snapToGrid w:val="0"/>
              <w:ind w:firstLine="420" w:firstLineChars="200"/>
              <w:contextualSpacing/>
              <w:rPr>
                <w:rFonts w:ascii="宋体" w:hAnsi="宋体"/>
                <w:sz w:val="21"/>
                <w:szCs w:val="21"/>
              </w:rPr>
            </w:pPr>
            <w:r>
              <w:rPr>
                <w:rFonts w:hint="eastAsia" w:ascii="宋体" w:hAnsi="宋体"/>
                <w:sz w:val="21"/>
                <w:szCs w:val="21"/>
              </w:rPr>
              <w:t>XMCD实验站上样机械臂系统整体组成如下图所示。该系统实现管理批量样品、样品检索和向真空腔体样品暂存架上样等功能。系统需要能够管理50个以上自动传样样品托，进行实验信息登记、样品位点自动/手动勾标记、样品托检索和提取、向暂存架安放样品托等操作。</w:t>
            </w:r>
          </w:p>
          <w:p w14:paraId="485C3079">
            <w:pPr>
              <w:adjustRightInd w:val="0"/>
              <w:snapToGrid w:val="0"/>
              <w:contextualSpacing/>
              <w:jc w:val="center"/>
              <w:rPr>
                <w:rFonts w:ascii="宋体" w:hAnsi="宋体"/>
                <w:sz w:val="21"/>
                <w:szCs w:val="21"/>
              </w:rPr>
            </w:pPr>
            <w:r>
              <w:rPr>
                <w:sz w:val="21"/>
                <w:szCs w:val="21"/>
              </w:rPr>
              <w:drawing>
                <wp:inline distT="0" distB="0" distL="0" distR="0">
                  <wp:extent cx="3023870" cy="1822450"/>
                  <wp:effectExtent l="0" t="0" r="508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023870" cy="1822450"/>
                          </a:xfrm>
                          <a:prstGeom prst="rect">
                            <a:avLst/>
                          </a:prstGeom>
                        </pic:spPr>
                      </pic:pic>
                    </a:graphicData>
                  </a:graphic>
                </wp:inline>
              </w:drawing>
            </w:r>
          </w:p>
          <w:p w14:paraId="13BC7564">
            <w:pPr>
              <w:adjustRightInd w:val="0"/>
              <w:snapToGrid w:val="0"/>
              <w:contextualSpacing/>
              <w:jc w:val="center"/>
              <w:rPr>
                <w:rFonts w:ascii="宋体" w:hAnsi="宋体"/>
                <w:sz w:val="21"/>
                <w:szCs w:val="21"/>
              </w:rPr>
            </w:pPr>
            <w:r>
              <w:rPr>
                <w:rFonts w:hint="eastAsia" w:ascii="宋体" w:hAnsi="宋体"/>
                <w:sz w:val="21"/>
                <w:szCs w:val="21"/>
              </w:rPr>
              <w:t>图1.</w:t>
            </w:r>
            <w:r>
              <w:rPr>
                <w:rFonts w:ascii="宋体" w:hAnsi="宋体"/>
                <w:sz w:val="21"/>
                <w:szCs w:val="21"/>
              </w:rPr>
              <w:t xml:space="preserve"> </w:t>
            </w:r>
            <w:r>
              <w:rPr>
                <w:rFonts w:hint="eastAsia" w:ascii="宋体" w:hAnsi="宋体"/>
                <w:sz w:val="21"/>
                <w:szCs w:val="21"/>
              </w:rPr>
              <w:t>上样机械臂平台结构示意</w:t>
            </w:r>
          </w:p>
          <w:p w14:paraId="3FF0323A">
            <w:pPr>
              <w:adjustRightInd w:val="0"/>
              <w:snapToGrid w:val="0"/>
              <w:contextualSpacing/>
              <w:rPr>
                <w:rFonts w:ascii="宋体" w:hAnsi="宋体"/>
                <w:sz w:val="21"/>
                <w:szCs w:val="21"/>
              </w:rPr>
            </w:pPr>
          </w:p>
          <w:p w14:paraId="7CC3BE0C">
            <w:pPr>
              <w:adjustRightInd w:val="0"/>
              <w:snapToGrid w:val="0"/>
              <w:contextualSpacing/>
              <w:rPr>
                <w:rFonts w:ascii="宋体" w:hAnsi="宋体"/>
                <w:sz w:val="21"/>
                <w:szCs w:val="21"/>
              </w:rPr>
            </w:pPr>
            <w:r>
              <w:rPr>
                <w:rFonts w:hint="eastAsia" w:ascii="宋体" w:hAnsi="宋体"/>
                <w:sz w:val="21"/>
                <w:szCs w:val="21"/>
              </w:rPr>
              <w:t>机械臂、夹爪、样品仓位需要适配如下样品托设计，保证稳定、高效、流畅、可靠的取放样品托。</w:t>
            </w:r>
          </w:p>
          <w:p w14:paraId="7C5ED089">
            <w:pPr>
              <w:adjustRightInd w:val="0"/>
              <w:snapToGrid w:val="0"/>
              <w:contextualSpacing/>
              <w:jc w:val="center"/>
              <w:rPr>
                <w:rFonts w:ascii="宋体" w:hAnsi="宋体"/>
                <w:sz w:val="21"/>
                <w:szCs w:val="21"/>
              </w:rPr>
            </w:pPr>
            <w:r>
              <w:rPr>
                <w:rFonts w:ascii="宋体" w:hAnsi="宋体"/>
                <w:sz w:val="21"/>
                <w:szCs w:val="21"/>
              </w:rPr>
              <w:drawing>
                <wp:inline distT="0" distB="0" distL="0" distR="0">
                  <wp:extent cx="2728595" cy="1833245"/>
                  <wp:effectExtent l="0" t="0" r="14605" b="1460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5"/>
                          <a:stretch>
                            <a:fillRect/>
                          </a:stretch>
                        </pic:blipFill>
                        <pic:spPr>
                          <a:xfrm>
                            <a:off x="0" y="0"/>
                            <a:ext cx="2728595" cy="1833245"/>
                          </a:xfrm>
                          <a:prstGeom prst="rect">
                            <a:avLst/>
                          </a:prstGeom>
                        </pic:spPr>
                      </pic:pic>
                    </a:graphicData>
                  </a:graphic>
                </wp:inline>
              </w:drawing>
            </w:r>
          </w:p>
          <w:p w14:paraId="5C73137A">
            <w:pPr>
              <w:adjustRightInd w:val="0"/>
              <w:snapToGrid w:val="0"/>
              <w:contextualSpacing/>
              <w:jc w:val="center"/>
              <w:rPr>
                <w:rFonts w:ascii="宋体" w:hAnsi="宋体"/>
                <w:sz w:val="21"/>
                <w:szCs w:val="21"/>
              </w:rPr>
            </w:pPr>
            <w:r>
              <w:rPr>
                <w:rFonts w:hint="eastAsia" w:ascii="宋体" w:hAnsi="宋体"/>
                <w:sz w:val="21"/>
                <w:szCs w:val="21"/>
              </w:rPr>
              <w:t>图2.</w:t>
            </w:r>
            <w:r>
              <w:rPr>
                <w:rFonts w:ascii="宋体" w:hAnsi="宋体"/>
                <w:sz w:val="21"/>
                <w:szCs w:val="21"/>
              </w:rPr>
              <w:t xml:space="preserve"> </w:t>
            </w:r>
            <w:r>
              <w:rPr>
                <w:rFonts w:hint="eastAsia" w:ascii="宋体" w:hAnsi="宋体"/>
                <w:sz w:val="21"/>
                <w:szCs w:val="21"/>
              </w:rPr>
              <w:t>样品托设计</w:t>
            </w:r>
          </w:p>
          <w:p w14:paraId="354D2705">
            <w:pPr>
              <w:adjustRightInd w:val="0"/>
              <w:snapToGrid w:val="0"/>
              <w:contextualSpacing/>
              <w:rPr>
                <w:rFonts w:hint="eastAsia" w:ascii="宋体" w:hAnsi="宋体"/>
                <w:sz w:val="21"/>
                <w:szCs w:val="21"/>
              </w:rPr>
            </w:pPr>
          </w:p>
          <w:p w14:paraId="45BF04F7">
            <w:pPr>
              <w:adjustRightInd w:val="0"/>
              <w:snapToGrid w:val="0"/>
              <w:ind w:firstLine="420" w:firstLineChars="200"/>
              <w:contextualSpacing/>
              <w:rPr>
                <w:rFonts w:ascii="宋体" w:hAnsi="宋体"/>
                <w:sz w:val="21"/>
                <w:szCs w:val="21"/>
              </w:rPr>
            </w:pPr>
            <w:r>
              <w:rPr>
                <w:rFonts w:hint="eastAsia" w:ascii="宋体" w:hAnsi="宋体"/>
                <w:sz w:val="21"/>
                <w:szCs w:val="21"/>
              </w:rPr>
              <w:t>放样机械臂需要可靠的从样品仓向真空腔体样品暂存架进行上样操作，真空腔体样品暂存架结构如下图所示。</w:t>
            </w:r>
          </w:p>
          <w:p w14:paraId="4C2E42CF">
            <w:pPr>
              <w:adjustRightInd w:val="0"/>
              <w:snapToGrid w:val="0"/>
              <w:contextualSpacing/>
              <w:jc w:val="center"/>
              <w:rPr>
                <w:rFonts w:ascii="宋体" w:hAnsi="宋体"/>
                <w:sz w:val="21"/>
                <w:szCs w:val="21"/>
              </w:rPr>
            </w:pPr>
            <w:r>
              <w:rPr>
                <w:rFonts w:ascii="宋体" w:hAnsi="宋体"/>
                <w:sz w:val="21"/>
                <w:szCs w:val="21"/>
              </w:rPr>
              <w:drawing>
                <wp:inline distT="0" distB="0" distL="0" distR="0">
                  <wp:extent cx="2537460" cy="1553210"/>
                  <wp:effectExtent l="0" t="0" r="15240" b="889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6"/>
                          <a:stretch>
                            <a:fillRect/>
                          </a:stretch>
                        </pic:blipFill>
                        <pic:spPr>
                          <a:xfrm>
                            <a:off x="0" y="0"/>
                            <a:ext cx="2537460" cy="1553210"/>
                          </a:xfrm>
                          <a:prstGeom prst="rect">
                            <a:avLst/>
                          </a:prstGeom>
                        </pic:spPr>
                      </pic:pic>
                    </a:graphicData>
                  </a:graphic>
                </wp:inline>
              </w:drawing>
            </w:r>
          </w:p>
          <w:p w14:paraId="3229E60C">
            <w:pPr>
              <w:adjustRightInd w:val="0"/>
              <w:snapToGrid w:val="0"/>
              <w:contextualSpacing/>
              <w:jc w:val="center"/>
              <w:rPr>
                <w:rFonts w:ascii="宋体" w:hAnsi="宋体"/>
                <w:sz w:val="21"/>
                <w:szCs w:val="21"/>
              </w:rPr>
            </w:pPr>
            <w:r>
              <w:rPr>
                <w:rFonts w:hint="eastAsia" w:ascii="宋体" w:hAnsi="宋体"/>
                <w:sz w:val="21"/>
                <w:szCs w:val="21"/>
              </w:rPr>
              <w:t>图3.</w:t>
            </w:r>
            <w:r>
              <w:rPr>
                <w:rFonts w:ascii="宋体" w:hAnsi="宋体"/>
                <w:sz w:val="21"/>
                <w:szCs w:val="21"/>
              </w:rPr>
              <w:t xml:space="preserve"> </w:t>
            </w:r>
            <w:r>
              <w:rPr>
                <w:rFonts w:hint="eastAsia" w:ascii="宋体" w:hAnsi="宋体"/>
                <w:sz w:val="21"/>
                <w:szCs w:val="21"/>
              </w:rPr>
              <w:t>真空腔体样品暂存架</w:t>
            </w:r>
          </w:p>
          <w:p w14:paraId="7A6C77AE">
            <w:pPr>
              <w:adjustRightInd w:val="0"/>
              <w:snapToGrid w:val="0"/>
              <w:contextualSpacing/>
              <w:rPr>
                <w:rFonts w:hint="eastAsia" w:ascii="宋体" w:hAnsi="宋体"/>
                <w:sz w:val="21"/>
                <w:szCs w:val="21"/>
              </w:rPr>
            </w:pPr>
          </w:p>
          <w:p w14:paraId="3A7DC7D8">
            <w:pPr>
              <w:adjustRightInd w:val="0"/>
              <w:snapToGrid w:val="0"/>
              <w:ind w:firstLine="420" w:firstLineChars="200"/>
              <w:contextualSpacing/>
              <w:rPr>
                <w:rFonts w:hint="default" w:ascii="宋体" w:hAnsi="宋体"/>
                <w:sz w:val="21"/>
                <w:szCs w:val="21"/>
                <w:lang w:val="en-US" w:eastAsia="zh-CN"/>
              </w:rPr>
            </w:pPr>
            <w:r>
              <w:rPr>
                <w:rFonts w:hint="eastAsia" w:ascii="宋体" w:hAnsi="宋体"/>
                <w:sz w:val="21"/>
                <w:szCs w:val="21"/>
              </w:rPr>
              <w:t>技术要求如下表</w:t>
            </w:r>
            <w:r>
              <w:rPr>
                <w:rFonts w:hint="eastAsia" w:ascii="宋体" w:hAnsi="宋体"/>
                <w:sz w:val="21"/>
                <w:szCs w:val="21"/>
                <w:lang w:eastAsia="zh-CN"/>
              </w:rPr>
              <w:t>：</w:t>
            </w:r>
          </w:p>
          <w:tbl>
            <w:tblPr>
              <w:tblStyle w:val="3"/>
              <w:tblW w:w="4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3561"/>
            </w:tblGrid>
            <w:tr w14:paraId="672BC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14:paraId="0670E934">
                  <w:pPr>
                    <w:adjustRightInd w:val="0"/>
                    <w:snapToGrid w:val="0"/>
                    <w:contextualSpacing/>
                    <w:rPr>
                      <w:rFonts w:ascii="宋体" w:hAnsi="宋体"/>
                      <w:sz w:val="21"/>
                      <w:szCs w:val="21"/>
                    </w:rPr>
                  </w:pPr>
                  <w:r>
                    <w:rPr>
                      <w:rFonts w:hint="eastAsia" w:ascii="宋体" w:hAnsi="宋体"/>
                      <w:sz w:val="21"/>
                      <w:szCs w:val="21"/>
                    </w:rPr>
                    <w:t>上样机械臂</w:t>
                  </w:r>
                </w:p>
              </w:tc>
              <w:tc>
                <w:tcPr>
                  <w:tcW w:w="3561" w:type="dxa"/>
                </w:tcPr>
                <w:p w14:paraId="34AF349A">
                  <w:pPr>
                    <w:adjustRightInd w:val="0"/>
                    <w:snapToGrid w:val="0"/>
                    <w:contextualSpacing/>
                    <w:rPr>
                      <w:rFonts w:ascii="宋体" w:hAnsi="宋体"/>
                      <w:sz w:val="21"/>
                      <w:szCs w:val="21"/>
                    </w:rPr>
                  </w:pPr>
                  <w:r>
                    <w:rPr>
                      <w:rFonts w:hint="eastAsia" w:ascii="宋体" w:hAnsi="宋体"/>
                      <w:sz w:val="21"/>
                      <w:szCs w:val="21"/>
                    </w:rPr>
                    <w:t>机械臂负载5kg，</w:t>
                  </w:r>
                </w:p>
                <w:p w14:paraId="4081C113">
                  <w:pPr>
                    <w:adjustRightInd w:val="0"/>
                    <w:snapToGrid w:val="0"/>
                    <w:contextualSpacing/>
                    <w:rPr>
                      <w:rFonts w:ascii="宋体" w:hAnsi="宋体"/>
                      <w:sz w:val="21"/>
                      <w:szCs w:val="21"/>
                    </w:rPr>
                  </w:pPr>
                  <w:r>
                    <w:rPr>
                      <w:rFonts w:hint="eastAsia" w:ascii="宋体" w:hAnsi="宋体"/>
                      <w:sz w:val="21"/>
                      <w:szCs w:val="21"/>
                    </w:rPr>
                    <w:t>重复定位误差小于0.1mm，</w:t>
                  </w:r>
                </w:p>
                <w:p w14:paraId="4CD8DA88">
                  <w:pPr>
                    <w:adjustRightInd w:val="0"/>
                    <w:snapToGrid w:val="0"/>
                    <w:contextualSpacing/>
                    <w:rPr>
                      <w:rFonts w:ascii="宋体" w:hAnsi="宋体"/>
                      <w:sz w:val="21"/>
                      <w:szCs w:val="21"/>
                    </w:rPr>
                  </w:pPr>
                  <w:r>
                    <w:rPr>
                      <w:rFonts w:hint="eastAsia" w:ascii="宋体" w:hAnsi="宋体"/>
                      <w:sz w:val="21"/>
                      <w:szCs w:val="21"/>
                    </w:rPr>
                    <w:t>力控传感器误差小于0.1N，</w:t>
                  </w:r>
                </w:p>
                <w:p w14:paraId="36446B13">
                  <w:pPr>
                    <w:adjustRightInd w:val="0"/>
                    <w:snapToGrid w:val="0"/>
                    <w:contextualSpacing/>
                    <w:rPr>
                      <w:rFonts w:ascii="宋体" w:hAnsi="宋体"/>
                      <w:sz w:val="21"/>
                      <w:szCs w:val="21"/>
                    </w:rPr>
                  </w:pPr>
                  <w:r>
                    <w:rPr>
                      <w:rFonts w:hint="eastAsia" w:ascii="宋体" w:hAnsi="宋体"/>
                      <w:sz w:val="21"/>
                      <w:szCs w:val="21"/>
                    </w:rPr>
                    <w:t>工作半径850mm，</w:t>
                  </w:r>
                </w:p>
                <w:p w14:paraId="79CC7F4E">
                  <w:pPr>
                    <w:adjustRightInd w:val="0"/>
                    <w:snapToGrid w:val="0"/>
                    <w:contextualSpacing/>
                    <w:rPr>
                      <w:rFonts w:ascii="宋体" w:hAnsi="宋体"/>
                      <w:sz w:val="21"/>
                      <w:szCs w:val="21"/>
                    </w:rPr>
                  </w:pPr>
                  <w:r>
                    <w:rPr>
                      <w:rFonts w:hint="eastAsia" w:ascii="宋体" w:hAnsi="宋体"/>
                      <w:sz w:val="21"/>
                      <w:szCs w:val="21"/>
                    </w:rPr>
                    <w:t>深度视觉定位误差小于1mm，</w:t>
                  </w:r>
                </w:p>
                <w:p w14:paraId="353CD783">
                  <w:pPr>
                    <w:adjustRightInd w:val="0"/>
                    <w:snapToGrid w:val="0"/>
                    <w:contextualSpacing/>
                    <w:rPr>
                      <w:rFonts w:ascii="宋体" w:hAnsi="宋体"/>
                      <w:sz w:val="21"/>
                      <w:szCs w:val="21"/>
                    </w:rPr>
                  </w:pPr>
                  <w:r>
                    <w:rPr>
                      <w:rFonts w:hint="eastAsia" w:ascii="宋体" w:hAnsi="宋体"/>
                      <w:sz w:val="21"/>
                      <w:szCs w:val="21"/>
                    </w:rPr>
                    <w:t>夹爪夹持力不小于100N，</w:t>
                  </w:r>
                </w:p>
                <w:p w14:paraId="7A247FF2">
                  <w:pPr>
                    <w:adjustRightInd w:val="0"/>
                    <w:snapToGrid w:val="0"/>
                    <w:contextualSpacing/>
                    <w:rPr>
                      <w:rFonts w:ascii="宋体" w:hAnsi="宋体"/>
                      <w:sz w:val="21"/>
                      <w:szCs w:val="21"/>
                    </w:rPr>
                  </w:pPr>
                  <w:r>
                    <w:rPr>
                      <w:rFonts w:hint="eastAsia" w:ascii="宋体" w:hAnsi="宋体"/>
                      <w:sz w:val="21"/>
                      <w:szCs w:val="21"/>
                    </w:rPr>
                    <w:t>抓取定位误差小于0.1mm，</w:t>
                  </w:r>
                </w:p>
                <w:p w14:paraId="654D726E">
                  <w:pPr>
                    <w:adjustRightInd w:val="0"/>
                    <w:snapToGrid w:val="0"/>
                    <w:contextualSpacing/>
                    <w:rPr>
                      <w:rFonts w:ascii="宋体" w:hAnsi="宋体"/>
                      <w:sz w:val="21"/>
                      <w:szCs w:val="21"/>
                    </w:rPr>
                  </w:pPr>
                  <w:r>
                    <w:rPr>
                      <w:rFonts w:hint="eastAsia" w:ascii="宋体" w:hAnsi="宋体"/>
                      <w:sz w:val="21"/>
                      <w:szCs w:val="21"/>
                    </w:rPr>
                    <w:t>通过ROS接口控制，运动控制节点集成到软件平台的中控端软件功能内，实现通过中控软件的联动控制</w:t>
                  </w:r>
                </w:p>
              </w:tc>
            </w:tr>
            <w:tr w14:paraId="25846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14:paraId="15ABDEAA">
                  <w:pPr>
                    <w:adjustRightInd w:val="0"/>
                    <w:snapToGrid w:val="0"/>
                    <w:contextualSpacing/>
                    <w:rPr>
                      <w:rFonts w:ascii="宋体" w:hAnsi="宋体"/>
                      <w:sz w:val="21"/>
                      <w:szCs w:val="21"/>
                    </w:rPr>
                  </w:pPr>
                  <w:r>
                    <w:rPr>
                      <w:rFonts w:hint="eastAsia" w:ascii="宋体" w:hAnsi="宋体"/>
                      <w:sz w:val="21"/>
                      <w:szCs w:val="21"/>
                    </w:rPr>
                    <w:t>力控夹爪</w:t>
                  </w:r>
                </w:p>
              </w:tc>
              <w:tc>
                <w:tcPr>
                  <w:tcW w:w="3561" w:type="dxa"/>
                </w:tcPr>
                <w:p w14:paraId="7D89D195">
                  <w:pPr>
                    <w:adjustRightInd w:val="0"/>
                    <w:snapToGrid w:val="0"/>
                    <w:contextualSpacing/>
                    <w:rPr>
                      <w:rFonts w:ascii="宋体" w:hAnsi="宋体"/>
                      <w:sz w:val="21"/>
                      <w:szCs w:val="21"/>
                    </w:rPr>
                  </w:pPr>
                  <w:r>
                    <w:rPr>
                      <w:rFonts w:hint="eastAsia" w:ascii="宋体" w:hAnsi="宋体"/>
                      <w:sz w:val="21"/>
                      <w:szCs w:val="21"/>
                    </w:rPr>
                    <w:t>力反馈误差±0.1N</w:t>
                  </w:r>
                </w:p>
                <w:p w14:paraId="2B3A3951">
                  <w:pPr>
                    <w:adjustRightInd w:val="0"/>
                    <w:snapToGrid w:val="0"/>
                    <w:contextualSpacing/>
                    <w:rPr>
                      <w:rFonts w:ascii="宋体" w:hAnsi="宋体"/>
                      <w:sz w:val="21"/>
                      <w:szCs w:val="21"/>
                    </w:rPr>
                  </w:pPr>
                  <w:r>
                    <w:rPr>
                      <w:rFonts w:hint="eastAsia" w:ascii="宋体" w:hAnsi="宋体"/>
                      <w:sz w:val="21"/>
                      <w:szCs w:val="21"/>
                    </w:rPr>
                    <w:t>定位误差0.1mm，</w:t>
                  </w:r>
                </w:p>
                <w:p w14:paraId="73B59963">
                  <w:pPr>
                    <w:adjustRightInd w:val="0"/>
                    <w:snapToGrid w:val="0"/>
                    <w:contextualSpacing/>
                    <w:rPr>
                      <w:rFonts w:ascii="宋体" w:hAnsi="宋体"/>
                      <w:sz w:val="21"/>
                      <w:szCs w:val="21"/>
                    </w:rPr>
                  </w:pPr>
                  <w:r>
                    <w:rPr>
                      <w:rFonts w:hint="eastAsia" w:ascii="宋体" w:hAnsi="宋体"/>
                      <w:sz w:val="21"/>
                      <w:szCs w:val="21"/>
                    </w:rPr>
                    <w:t>通讯方式：R</w:t>
                  </w:r>
                  <w:r>
                    <w:rPr>
                      <w:rFonts w:ascii="宋体" w:hAnsi="宋体"/>
                      <w:sz w:val="21"/>
                      <w:szCs w:val="21"/>
                    </w:rPr>
                    <w:t>S485</w:t>
                  </w:r>
                </w:p>
                <w:p w14:paraId="18CA5750">
                  <w:pPr>
                    <w:adjustRightInd w:val="0"/>
                    <w:snapToGrid w:val="0"/>
                    <w:contextualSpacing/>
                    <w:rPr>
                      <w:rFonts w:ascii="宋体" w:hAnsi="宋体" w:cs="宋体"/>
                      <w:sz w:val="21"/>
                      <w:szCs w:val="21"/>
                    </w:rPr>
                  </w:pPr>
                  <w:r>
                    <w:rPr>
                      <w:rFonts w:hint="eastAsia" w:ascii="宋体" w:hAnsi="宋体"/>
                      <w:sz w:val="21"/>
                      <w:szCs w:val="21"/>
                    </w:rPr>
                    <w:t>控制方式：集成到机械臂R</w:t>
                  </w:r>
                  <w:r>
                    <w:rPr>
                      <w:rFonts w:ascii="宋体" w:hAnsi="宋体"/>
                      <w:sz w:val="21"/>
                      <w:szCs w:val="21"/>
                    </w:rPr>
                    <w:t>OS</w:t>
                  </w:r>
                  <w:r>
                    <w:rPr>
                      <w:rFonts w:hint="eastAsia" w:ascii="宋体" w:hAnsi="宋体"/>
                      <w:sz w:val="21"/>
                      <w:szCs w:val="21"/>
                    </w:rPr>
                    <w:t>系统中，可以通过软件平台进行统一控制</w:t>
                  </w:r>
                </w:p>
              </w:tc>
            </w:tr>
            <w:tr w14:paraId="12F35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14:paraId="63189359">
                  <w:pPr>
                    <w:adjustRightInd w:val="0"/>
                    <w:snapToGrid w:val="0"/>
                    <w:contextualSpacing/>
                    <w:rPr>
                      <w:rFonts w:ascii="宋体" w:hAnsi="宋体"/>
                      <w:sz w:val="21"/>
                      <w:szCs w:val="21"/>
                    </w:rPr>
                  </w:pPr>
                  <w:r>
                    <w:rPr>
                      <w:rFonts w:hint="eastAsia" w:ascii="宋体" w:hAnsi="宋体"/>
                      <w:sz w:val="21"/>
                      <w:szCs w:val="21"/>
                    </w:rPr>
                    <w:t>样品仓</w:t>
                  </w:r>
                </w:p>
              </w:tc>
              <w:tc>
                <w:tcPr>
                  <w:tcW w:w="3561" w:type="dxa"/>
                </w:tcPr>
                <w:p w14:paraId="40D9B97D">
                  <w:pPr>
                    <w:adjustRightInd w:val="0"/>
                    <w:snapToGrid w:val="0"/>
                    <w:contextualSpacing/>
                    <w:rPr>
                      <w:rFonts w:ascii="宋体" w:hAnsi="宋体"/>
                      <w:sz w:val="21"/>
                      <w:szCs w:val="21"/>
                    </w:rPr>
                  </w:pPr>
                  <w:r>
                    <w:rPr>
                      <w:rFonts w:hint="eastAsia" w:ascii="宋体" w:hAnsi="宋体"/>
                      <w:sz w:val="21"/>
                      <w:szCs w:val="21"/>
                    </w:rPr>
                    <w:t>物料仓机械臂重复定位误优于0.1mm</w:t>
                  </w:r>
                </w:p>
                <w:p w14:paraId="7BADC96C">
                  <w:pPr>
                    <w:adjustRightInd w:val="0"/>
                    <w:snapToGrid w:val="0"/>
                    <w:contextualSpacing/>
                    <w:rPr>
                      <w:rFonts w:ascii="宋体" w:hAnsi="宋体"/>
                      <w:sz w:val="21"/>
                      <w:szCs w:val="21"/>
                    </w:rPr>
                  </w:pPr>
                  <w:r>
                    <w:rPr>
                      <w:rFonts w:hint="eastAsia" w:ascii="宋体" w:hAnsi="宋体"/>
                      <w:sz w:val="21"/>
                      <w:szCs w:val="21"/>
                    </w:rPr>
                    <w:t>预室暂存物料样品数量不少于50</w:t>
                  </w:r>
                </w:p>
                <w:p w14:paraId="55152C58">
                  <w:pPr>
                    <w:adjustRightInd w:val="0"/>
                    <w:snapToGrid w:val="0"/>
                    <w:contextualSpacing/>
                    <w:rPr>
                      <w:rFonts w:ascii="宋体" w:hAnsi="宋体"/>
                      <w:sz w:val="21"/>
                      <w:szCs w:val="21"/>
                    </w:rPr>
                  </w:pPr>
                  <w:r>
                    <w:rPr>
                      <w:rFonts w:hint="eastAsia" w:ascii="宋体" w:hAnsi="宋体"/>
                      <w:sz w:val="21"/>
                      <w:szCs w:val="21"/>
                    </w:rPr>
                    <w:t>通过机械臂对物料样品进行取放管理</w:t>
                  </w:r>
                </w:p>
                <w:p w14:paraId="28530C67">
                  <w:pPr>
                    <w:adjustRightInd w:val="0"/>
                    <w:snapToGrid w:val="0"/>
                    <w:contextualSpacing/>
                    <w:rPr>
                      <w:rFonts w:ascii="宋体" w:hAnsi="宋体"/>
                      <w:sz w:val="21"/>
                      <w:szCs w:val="21"/>
                    </w:rPr>
                  </w:pPr>
                  <w:r>
                    <w:rPr>
                      <w:rFonts w:hint="eastAsia" w:ascii="宋体" w:hAnsi="宋体"/>
                      <w:sz w:val="21"/>
                      <w:szCs w:val="21"/>
                    </w:rPr>
                    <w:t>具有H</w:t>
                  </w:r>
                  <w:r>
                    <w:rPr>
                      <w:rFonts w:ascii="宋体" w:hAnsi="宋体"/>
                      <w:sz w:val="21"/>
                      <w:szCs w:val="21"/>
                    </w:rPr>
                    <w:t>MI</w:t>
                  </w:r>
                  <w:r>
                    <w:rPr>
                      <w:rFonts w:hint="eastAsia" w:ascii="宋体" w:hAnsi="宋体"/>
                      <w:sz w:val="21"/>
                      <w:szCs w:val="21"/>
                    </w:rPr>
                    <w:t>交互显示屏，可以进行人工取放</w:t>
                  </w:r>
                </w:p>
                <w:p w14:paraId="150F9C7E">
                  <w:pPr>
                    <w:adjustRightInd w:val="0"/>
                    <w:snapToGrid w:val="0"/>
                    <w:contextualSpacing/>
                    <w:rPr>
                      <w:rFonts w:ascii="宋体" w:hAnsi="宋体"/>
                      <w:sz w:val="21"/>
                      <w:szCs w:val="21"/>
                    </w:rPr>
                  </w:pPr>
                  <w:r>
                    <w:rPr>
                      <w:rFonts w:hint="eastAsia" w:ascii="宋体" w:hAnsi="宋体"/>
                      <w:sz w:val="21"/>
                      <w:szCs w:val="21"/>
                    </w:rPr>
                    <w:t>控制接口集成到软件平台的中控端软件功能中，可以通过中控软件进行联动控制</w:t>
                  </w:r>
                </w:p>
              </w:tc>
            </w:tr>
            <w:tr w14:paraId="30B0C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Pr>
                <w:p w14:paraId="1C2EA27D">
                  <w:pPr>
                    <w:adjustRightInd w:val="0"/>
                    <w:snapToGrid w:val="0"/>
                    <w:contextualSpacing/>
                    <w:rPr>
                      <w:rFonts w:ascii="宋体" w:hAnsi="宋体"/>
                      <w:sz w:val="21"/>
                      <w:szCs w:val="21"/>
                    </w:rPr>
                  </w:pPr>
                  <w:r>
                    <w:rPr>
                      <w:rFonts w:hint="eastAsia" w:ascii="宋体" w:hAnsi="宋体"/>
                      <w:sz w:val="21"/>
                      <w:szCs w:val="21"/>
                    </w:rPr>
                    <w:t>控制软件</w:t>
                  </w:r>
                </w:p>
              </w:tc>
              <w:tc>
                <w:tcPr>
                  <w:tcW w:w="3561" w:type="dxa"/>
                </w:tcPr>
                <w:p w14:paraId="441C5E2A">
                  <w:pPr>
                    <w:adjustRightInd w:val="0"/>
                    <w:snapToGrid w:val="0"/>
                    <w:contextualSpacing/>
                    <w:rPr>
                      <w:rFonts w:ascii="宋体" w:hAnsi="宋体" w:cs="宋体"/>
                      <w:sz w:val="21"/>
                      <w:szCs w:val="21"/>
                    </w:rPr>
                  </w:pPr>
                  <w:r>
                    <w:rPr>
                      <w:rFonts w:hint="eastAsia" w:ascii="宋体" w:hAnsi="宋体" w:cs="宋体"/>
                      <w:sz w:val="21"/>
                      <w:szCs w:val="21"/>
                    </w:rPr>
                    <w:t>登录入口：</w:t>
                  </w:r>
                </w:p>
                <w:p w14:paraId="0F555969">
                  <w:pPr>
                    <w:pStyle w:val="5"/>
                    <w:widowControl w:val="0"/>
                    <w:numPr>
                      <w:ilvl w:val="0"/>
                      <w:numId w:val="2"/>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具有账户密码登录功能，用户登录后修改可登录密码。</w:t>
                  </w:r>
                </w:p>
                <w:p w14:paraId="5853D70D">
                  <w:pPr>
                    <w:adjustRightInd w:val="0"/>
                    <w:snapToGrid w:val="0"/>
                    <w:contextualSpacing/>
                    <w:rPr>
                      <w:rFonts w:ascii="宋体" w:hAnsi="宋体" w:cs="宋体"/>
                      <w:sz w:val="21"/>
                      <w:szCs w:val="21"/>
                    </w:rPr>
                  </w:pPr>
                  <w:r>
                    <w:rPr>
                      <w:rFonts w:hint="eastAsia" w:ascii="宋体" w:hAnsi="宋体" w:cs="宋体"/>
                      <w:sz w:val="21"/>
                      <w:szCs w:val="21"/>
                    </w:rPr>
                    <w:t>首页功能说明：</w:t>
                  </w:r>
                </w:p>
                <w:p w14:paraId="236DF99F">
                  <w:pPr>
                    <w:pStyle w:val="5"/>
                    <w:widowControl w:val="0"/>
                    <w:numPr>
                      <w:ilvl w:val="0"/>
                      <w:numId w:val="3"/>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具有维护并实时刷新协作机械臂、测试样品物料管理平台、真空内自动传样系统的状态显示功能。</w:t>
                  </w:r>
                </w:p>
                <w:p w14:paraId="4D0E11D1">
                  <w:pPr>
                    <w:pStyle w:val="5"/>
                    <w:widowControl w:val="0"/>
                    <w:numPr>
                      <w:ilvl w:val="0"/>
                      <w:numId w:val="3"/>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具有实时监控机械臂上下料状态的功能。</w:t>
                  </w:r>
                </w:p>
                <w:p w14:paraId="2FCE5C96">
                  <w:pPr>
                    <w:pStyle w:val="5"/>
                    <w:widowControl w:val="0"/>
                    <w:numPr>
                      <w:ilvl w:val="0"/>
                      <w:numId w:val="3"/>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具有强制刷新所有协同系统恢复初始状态的功能。</w:t>
                  </w:r>
                </w:p>
                <w:p w14:paraId="1AC2C248">
                  <w:pPr>
                    <w:pStyle w:val="5"/>
                    <w:widowControl w:val="0"/>
                    <w:numPr>
                      <w:ilvl w:val="0"/>
                      <w:numId w:val="3"/>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具有展示实验测试任务流实时运行节点的功能，高亮正在执行的任务节点。</w:t>
                  </w:r>
                </w:p>
                <w:p w14:paraId="3CA40B30">
                  <w:pPr>
                    <w:adjustRightInd w:val="0"/>
                    <w:snapToGrid w:val="0"/>
                    <w:contextualSpacing/>
                    <w:rPr>
                      <w:rFonts w:ascii="宋体" w:hAnsi="宋体" w:cs="宋体"/>
                      <w:sz w:val="21"/>
                      <w:szCs w:val="21"/>
                    </w:rPr>
                  </w:pPr>
                  <w:r>
                    <w:rPr>
                      <w:rFonts w:hint="eastAsia" w:ascii="宋体" w:hAnsi="宋体" w:cs="宋体"/>
                      <w:sz w:val="21"/>
                      <w:szCs w:val="21"/>
                    </w:rPr>
                    <w:t>送测样品记录：</w:t>
                  </w:r>
                </w:p>
                <w:p w14:paraId="7C4E11C4">
                  <w:pPr>
                    <w:pStyle w:val="5"/>
                    <w:widowControl w:val="0"/>
                    <w:numPr>
                      <w:ilvl w:val="0"/>
                      <w:numId w:val="4"/>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具有送测样品入库、详情查看、参数更新等功能。</w:t>
                  </w:r>
                </w:p>
                <w:p w14:paraId="5A0C8A88">
                  <w:pPr>
                    <w:pStyle w:val="5"/>
                    <w:widowControl w:val="0"/>
                    <w:numPr>
                      <w:ilvl w:val="0"/>
                      <w:numId w:val="4"/>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具有发布实验报告的功能。</w:t>
                  </w:r>
                </w:p>
                <w:p w14:paraId="2E2B66D6">
                  <w:pPr>
                    <w:pStyle w:val="5"/>
                    <w:widowControl w:val="0"/>
                    <w:numPr>
                      <w:ilvl w:val="0"/>
                      <w:numId w:val="4"/>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物料仓位功能。</w:t>
                  </w:r>
                </w:p>
                <w:p w14:paraId="5214FB01">
                  <w:pPr>
                    <w:pStyle w:val="5"/>
                    <w:widowControl w:val="0"/>
                    <w:numPr>
                      <w:ilvl w:val="0"/>
                      <w:numId w:val="4"/>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具有选择合适仓位并进行入库和上料的功能，完成入库和上料后会在首页更新状态。</w:t>
                  </w:r>
                </w:p>
                <w:p w14:paraId="09EE3859">
                  <w:pPr>
                    <w:pStyle w:val="5"/>
                    <w:widowControl w:val="0"/>
                    <w:numPr>
                      <w:ilvl w:val="0"/>
                      <w:numId w:val="4"/>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具有多仓位入库功能。</w:t>
                  </w:r>
                </w:p>
                <w:p w14:paraId="12F45FCA">
                  <w:pPr>
                    <w:pStyle w:val="5"/>
                    <w:widowControl w:val="0"/>
                    <w:numPr>
                      <w:ilvl w:val="0"/>
                      <w:numId w:val="4"/>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具有与线站已有的自动传样系统完成测试的功能。</w:t>
                  </w:r>
                </w:p>
                <w:p w14:paraId="440B775D">
                  <w:pPr>
                    <w:pStyle w:val="5"/>
                    <w:widowControl w:val="0"/>
                    <w:numPr>
                      <w:ilvl w:val="0"/>
                      <w:numId w:val="4"/>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具有选中待出库样品进行出库操作的功能。</w:t>
                  </w:r>
                </w:p>
                <w:p w14:paraId="06EF005B">
                  <w:pPr>
                    <w:adjustRightInd w:val="0"/>
                    <w:snapToGrid w:val="0"/>
                    <w:contextualSpacing/>
                    <w:rPr>
                      <w:rFonts w:ascii="宋体" w:hAnsi="宋体" w:cs="宋体"/>
                      <w:sz w:val="21"/>
                      <w:szCs w:val="21"/>
                    </w:rPr>
                  </w:pPr>
                  <w:r>
                    <w:rPr>
                      <w:rFonts w:hint="eastAsia" w:ascii="宋体" w:hAnsi="宋体" w:cs="宋体"/>
                      <w:sz w:val="21"/>
                      <w:szCs w:val="21"/>
                    </w:rPr>
                    <w:t>测试任务管理：</w:t>
                  </w:r>
                </w:p>
                <w:p w14:paraId="19ED672C">
                  <w:pPr>
                    <w:pStyle w:val="5"/>
                    <w:widowControl w:val="0"/>
                    <w:numPr>
                      <w:ilvl w:val="0"/>
                      <w:numId w:val="5"/>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具有与线站已有的自动传样系统消息同步的功能。</w:t>
                  </w:r>
                </w:p>
                <w:p w14:paraId="439BBABB">
                  <w:pPr>
                    <w:adjustRightInd w:val="0"/>
                    <w:snapToGrid w:val="0"/>
                    <w:contextualSpacing/>
                    <w:rPr>
                      <w:rFonts w:ascii="宋体" w:hAnsi="宋体" w:cs="宋体"/>
                      <w:sz w:val="21"/>
                      <w:szCs w:val="21"/>
                    </w:rPr>
                  </w:pPr>
                  <w:r>
                    <w:rPr>
                      <w:rFonts w:hint="eastAsia" w:ascii="宋体" w:hAnsi="宋体" w:cs="宋体"/>
                      <w:sz w:val="21"/>
                      <w:szCs w:val="21"/>
                    </w:rPr>
                    <w:t>可视化管理功能：</w:t>
                  </w:r>
                </w:p>
                <w:p w14:paraId="4857772B">
                  <w:pPr>
                    <w:pStyle w:val="5"/>
                    <w:widowControl w:val="0"/>
                    <w:numPr>
                      <w:ilvl w:val="0"/>
                      <w:numId w:val="6"/>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具有查看当前送测样品测试进度和过程管理；</w:t>
                  </w:r>
                </w:p>
                <w:p w14:paraId="5E83814A">
                  <w:pPr>
                    <w:pStyle w:val="5"/>
                    <w:widowControl w:val="0"/>
                    <w:numPr>
                      <w:ilvl w:val="0"/>
                      <w:numId w:val="6"/>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具有查看当前物料站内送测样品管理信息，样品归属以及样品送测参数要求等；</w:t>
                  </w:r>
                </w:p>
                <w:p w14:paraId="7603D776">
                  <w:pPr>
                    <w:adjustRightInd w:val="0"/>
                    <w:snapToGrid w:val="0"/>
                    <w:contextualSpacing/>
                    <w:rPr>
                      <w:rFonts w:ascii="宋体" w:hAnsi="宋体" w:cs="宋体"/>
                      <w:sz w:val="21"/>
                      <w:szCs w:val="21"/>
                    </w:rPr>
                  </w:pPr>
                  <w:r>
                    <w:rPr>
                      <w:rFonts w:hint="eastAsia" w:ascii="宋体" w:hAnsi="宋体" w:cs="宋体"/>
                      <w:sz w:val="21"/>
                      <w:szCs w:val="21"/>
                    </w:rPr>
                    <w:t>具有调整送测样品检测顺序功能。</w:t>
                  </w:r>
                </w:p>
                <w:p w14:paraId="0C6DB312">
                  <w:pPr>
                    <w:adjustRightInd w:val="0"/>
                    <w:snapToGrid w:val="0"/>
                    <w:contextualSpacing/>
                    <w:rPr>
                      <w:rFonts w:ascii="宋体" w:hAnsi="宋体" w:cs="宋体"/>
                      <w:sz w:val="21"/>
                      <w:szCs w:val="21"/>
                    </w:rPr>
                  </w:pPr>
                  <w:r>
                    <w:rPr>
                      <w:rFonts w:hint="eastAsia" w:ascii="宋体" w:hAnsi="宋体" w:cs="宋体"/>
                      <w:sz w:val="21"/>
                      <w:szCs w:val="21"/>
                    </w:rPr>
                    <w:t>用户端网页功能：</w:t>
                  </w:r>
                </w:p>
                <w:p w14:paraId="677B6DE9">
                  <w:pPr>
                    <w:adjustRightInd w:val="0"/>
                    <w:snapToGrid w:val="0"/>
                    <w:contextualSpacing/>
                    <w:rPr>
                      <w:rFonts w:ascii="宋体" w:hAnsi="宋体" w:cs="宋体"/>
                      <w:sz w:val="21"/>
                      <w:szCs w:val="21"/>
                    </w:rPr>
                  </w:pPr>
                  <w:r>
                    <w:rPr>
                      <w:rFonts w:hint="eastAsia" w:ascii="宋体" w:hAnsi="宋体" w:cs="宋体"/>
                      <w:sz w:val="21"/>
                      <w:szCs w:val="21"/>
                    </w:rPr>
                    <w:t>登录入口：</w:t>
                  </w:r>
                </w:p>
                <w:p w14:paraId="05348294">
                  <w:pPr>
                    <w:pStyle w:val="5"/>
                    <w:widowControl w:val="0"/>
                    <w:numPr>
                      <w:ilvl w:val="0"/>
                      <w:numId w:val="7"/>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具有账号密码登录功能，用户登录之后可修改密码。</w:t>
                  </w:r>
                </w:p>
                <w:p w14:paraId="4A820FB4">
                  <w:pPr>
                    <w:pStyle w:val="5"/>
                    <w:widowControl w:val="0"/>
                    <w:numPr>
                      <w:ilvl w:val="0"/>
                      <w:numId w:val="7"/>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具有手机验证码登录功能。</w:t>
                  </w:r>
                </w:p>
                <w:p w14:paraId="7AA13F1C">
                  <w:pPr>
                    <w:pStyle w:val="5"/>
                    <w:widowControl w:val="0"/>
                    <w:numPr>
                      <w:ilvl w:val="0"/>
                      <w:numId w:val="7"/>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账户信息管理：具有修改登录密码功能。</w:t>
                  </w:r>
                </w:p>
                <w:p w14:paraId="16FF0365">
                  <w:pPr>
                    <w:adjustRightInd w:val="0"/>
                    <w:snapToGrid w:val="0"/>
                    <w:contextualSpacing/>
                    <w:rPr>
                      <w:rFonts w:ascii="宋体" w:hAnsi="宋体" w:cs="宋体"/>
                      <w:sz w:val="21"/>
                      <w:szCs w:val="21"/>
                    </w:rPr>
                  </w:pPr>
                  <w:r>
                    <w:rPr>
                      <w:rFonts w:hint="eastAsia" w:ascii="宋体" w:hAnsi="宋体" w:cs="宋体"/>
                      <w:sz w:val="21"/>
                      <w:szCs w:val="21"/>
                    </w:rPr>
                    <w:t>送测样品管理：</w:t>
                  </w:r>
                </w:p>
                <w:p w14:paraId="5031F4A9">
                  <w:pPr>
                    <w:pStyle w:val="5"/>
                    <w:widowControl w:val="0"/>
                    <w:numPr>
                      <w:ilvl w:val="0"/>
                      <w:numId w:val="8"/>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具有查看送测样品相关信息的功能。</w:t>
                  </w:r>
                </w:p>
                <w:p w14:paraId="2783CF5D">
                  <w:pPr>
                    <w:pStyle w:val="5"/>
                    <w:widowControl w:val="0"/>
                    <w:numPr>
                      <w:ilvl w:val="0"/>
                      <w:numId w:val="8"/>
                    </w:numPr>
                    <w:adjustRightInd w:val="0"/>
                    <w:snapToGrid w:val="0"/>
                    <w:jc w:val="both"/>
                    <w:textAlignment w:val="auto"/>
                    <w:rPr>
                      <w:rFonts w:ascii="宋体" w:hAnsi="宋体" w:eastAsia="宋体" w:cs="宋体"/>
                      <w:sz w:val="21"/>
                      <w:szCs w:val="21"/>
                    </w:rPr>
                  </w:pPr>
                  <w:r>
                    <w:rPr>
                      <w:rFonts w:hint="eastAsia" w:ascii="宋体" w:hAnsi="宋体" w:eastAsia="宋体" w:cs="宋体"/>
                      <w:sz w:val="21"/>
                      <w:szCs w:val="21"/>
                    </w:rPr>
                    <w:t>具有新增样品功能，填写新增样品的参数后上传样品托图片，选中样品并填写设置样品参数并实时生成系统参数 ，参数填写完毕后提交给管理员进行审核。</w:t>
                  </w:r>
                </w:p>
                <w:p w14:paraId="06B6DFB5">
                  <w:pPr>
                    <w:adjustRightInd w:val="0"/>
                    <w:snapToGrid w:val="0"/>
                    <w:contextualSpacing/>
                    <w:rPr>
                      <w:rFonts w:ascii="宋体" w:hAnsi="宋体"/>
                      <w:sz w:val="21"/>
                      <w:szCs w:val="21"/>
                    </w:rPr>
                  </w:pPr>
                  <w:r>
                    <w:rPr>
                      <w:rFonts w:hint="eastAsia" w:ascii="宋体" w:hAnsi="宋体" w:cs="宋体"/>
                      <w:sz w:val="21"/>
                      <w:szCs w:val="21"/>
                    </w:rPr>
                    <w:t>具有管理员审核及修改功能，管理员修改之后需要用户端进行确认，确认之后该送测记录即审核通过。</w:t>
                  </w:r>
                </w:p>
              </w:tc>
            </w:tr>
          </w:tbl>
          <w:p w14:paraId="539A7A01">
            <w:pPr>
              <w:numPr>
                <w:ilvl w:val="0"/>
                <w:numId w:val="0"/>
              </w:numPr>
              <w:spacing w:line="360" w:lineRule="exact"/>
              <w:ind w:leftChars="0"/>
              <w:jc w:val="left"/>
              <w:rPr>
                <w:rFonts w:hint="eastAsia"/>
                <w:bCs/>
                <w:sz w:val="21"/>
                <w:szCs w:val="21"/>
              </w:rPr>
            </w:pPr>
          </w:p>
        </w:tc>
        <w:tc>
          <w:tcPr>
            <w:tcW w:w="1418" w:type="dxa"/>
            <w:vAlign w:val="center"/>
          </w:tcPr>
          <w:p w14:paraId="205FF5AB">
            <w:pPr>
              <w:spacing w:line="240" w:lineRule="atLeast"/>
              <w:jc w:val="center"/>
            </w:pPr>
          </w:p>
        </w:tc>
        <w:tc>
          <w:tcPr>
            <w:tcW w:w="992"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705" w:type="dxa"/>
            <w:vAlign w:val="center"/>
          </w:tcPr>
          <w:p w14:paraId="21D5CC9B">
            <w:pPr>
              <w:spacing w:line="240" w:lineRule="atLeast"/>
              <w:jc w:val="center"/>
            </w:pPr>
            <w:r>
              <w:t>2</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269" w:type="dxa"/>
            <w:tcBorders>
              <w:top w:val="single" w:color="auto" w:sz="4" w:space="0"/>
              <w:left w:val="nil"/>
              <w:bottom w:val="single" w:color="auto" w:sz="4" w:space="0"/>
              <w:right w:val="single" w:color="auto" w:sz="4" w:space="0"/>
            </w:tcBorders>
            <w:shd w:val="clear" w:color="auto" w:fill="auto"/>
            <w:vAlign w:val="center"/>
          </w:tcPr>
          <w:p w14:paraId="4B0E0629">
            <w:pPr>
              <w:keepNext w:val="0"/>
              <w:keepLines w:val="0"/>
              <w:pageBreakBefore w:val="0"/>
              <w:widowControl w:val="0"/>
              <w:kinsoku/>
              <w:wordWrap/>
              <w:overflowPunct/>
              <w:topLinePunct w:val="0"/>
              <w:autoSpaceDE/>
              <w:autoSpaceDN/>
              <w:bidi w:val="0"/>
              <w:adjustRightInd w:val="0"/>
              <w:snapToGrid w:val="0"/>
              <w:spacing w:line="300" w:lineRule="auto"/>
              <w:contextualSpacing/>
              <w:textAlignment w:val="auto"/>
              <w:rPr>
                <w:rFonts w:hint="eastAsia" w:ascii="宋体" w:hAnsi="宋体"/>
                <w:sz w:val="21"/>
                <w:szCs w:val="21"/>
              </w:rPr>
            </w:pPr>
          </w:p>
          <w:p w14:paraId="2BEC3C75">
            <w:pPr>
              <w:keepNext w:val="0"/>
              <w:keepLines w:val="0"/>
              <w:pageBreakBefore w:val="0"/>
              <w:widowControl w:val="0"/>
              <w:kinsoku/>
              <w:wordWrap/>
              <w:overflowPunct/>
              <w:topLinePunct w:val="0"/>
              <w:autoSpaceDE/>
              <w:autoSpaceDN/>
              <w:bidi w:val="0"/>
              <w:adjustRightInd w:val="0"/>
              <w:snapToGrid w:val="0"/>
              <w:spacing w:line="300" w:lineRule="auto"/>
              <w:contextualSpacing/>
              <w:textAlignment w:val="auto"/>
              <w:rPr>
                <w:rFonts w:ascii="宋体" w:hAnsi="宋体"/>
                <w:sz w:val="21"/>
                <w:szCs w:val="21"/>
              </w:rPr>
            </w:pPr>
            <w:r>
              <w:rPr>
                <w:rFonts w:hint="eastAsia" w:ascii="宋体" w:hAnsi="宋体"/>
                <w:sz w:val="21"/>
                <w:szCs w:val="21"/>
              </w:rPr>
              <w:t>厂家资质要求：</w:t>
            </w:r>
          </w:p>
          <w:p w14:paraId="20D830E5">
            <w:pPr>
              <w:keepNext w:val="0"/>
              <w:keepLines w:val="0"/>
              <w:pageBreakBefore w:val="0"/>
              <w:widowControl w:val="0"/>
              <w:kinsoku/>
              <w:wordWrap/>
              <w:overflowPunct/>
              <w:topLinePunct w:val="0"/>
              <w:autoSpaceDE/>
              <w:autoSpaceDN/>
              <w:bidi w:val="0"/>
              <w:adjustRightInd w:val="0"/>
              <w:snapToGrid w:val="0"/>
              <w:spacing w:line="300" w:lineRule="auto"/>
              <w:contextualSpacing/>
              <w:textAlignment w:val="auto"/>
              <w:rPr>
                <w:rFonts w:ascii="宋体" w:hAnsi="宋体"/>
                <w:sz w:val="21"/>
                <w:szCs w:val="21"/>
              </w:rPr>
            </w:pPr>
            <w:r>
              <w:rPr>
                <w:rFonts w:hint="eastAsia" w:ascii="宋体" w:hAnsi="宋体"/>
                <w:sz w:val="21"/>
                <w:szCs w:val="21"/>
              </w:rPr>
              <w:t>1、智能机器人或自动化改造项目案例或相关业绩案例不少于2项，提供相关产品的实际照片；</w:t>
            </w:r>
          </w:p>
          <w:p w14:paraId="20D8733F">
            <w:pPr>
              <w:keepNext w:val="0"/>
              <w:keepLines w:val="0"/>
              <w:pageBreakBefore w:val="0"/>
              <w:widowControl w:val="0"/>
              <w:kinsoku/>
              <w:wordWrap/>
              <w:overflowPunct/>
              <w:topLinePunct w:val="0"/>
              <w:autoSpaceDE/>
              <w:autoSpaceDN/>
              <w:bidi w:val="0"/>
              <w:adjustRightInd w:val="0"/>
              <w:snapToGrid w:val="0"/>
              <w:spacing w:line="300" w:lineRule="auto"/>
              <w:contextualSpacing/>
              <w:textAlignment w:val="auto"/>
              <w:rPr>
                <w:rFonts w:ascii="宋体" w:hAnsi="宋体"/>
                <w:sz w:val="21"/>
                <w:szCs w:val="21"/>
              </w:rPr>
            </w:pPr>
            <w:r>
              <w:rPr>
                <w:rFonts w:hint="eastAsia" w:ascii="宋体" w:hAnsi="宋体"/>
                <w:sz w:val="21"/>
                <w:szCs w:val="21"/>
              </w:rPr>
              <w:t>2、随报价提供软件设计说明或用户交互界面设计图。</w:t>
            </w:r>
          </w:p>
          <w:p w14:paraId="658F3E7C">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宋体" w:hAnsi="宋体" w:eastAsia="宋体" w:cs="宋体"/>
                <w:sz w:val="21"/>
                <w:szCs w:val="21"/>
              </w:rPr>
            </w:pPr>
            <w:r>
              <w:rPr>
                <w:rFonts w:hint="eastAsia" w:ascii="宋体" w:hAnsi="宋体" w:eastAsia="宋体" w:cs="宋体"/>
                <w:b/>
                <w:sz w:val="21"/>
                <w:szCs w:val="21"/>
              </w:rPr>
              <w:t>交货期：</w:t>
            </w:r>
            <w:r>
              <w:rPr>
                <w:rFonts w:hint="eastAsia" w:ascii="宋体" w:hAnsi="宋体" w:eastAsia="宋体" w:cs="宋体"/>
                <w:sz w:val="21"/>
                <w:szCs w:val="21"/>
              </w:rPr>
              <w:t>合同签订后</w:t>
            </w:r>
            <w:r>
              <w:rPr>
                <w:rFonts w:hint="eastAsia" w:ascii="宋体" w:hAnsi="宋体" w:eastAsia="宋体" w:cs="宋体"/>
                <w:sz w:val="21"/>
                <w:szCs w:val="21"/>
                <w:lang w:val="en-US" w:eastAsia="zh-CN"/>
              </w:rPr>
              <w:t>2</w:t>
            </w:r>
            <w:r>
              <w:rPr>
                <w:rFonts w:hint="eastAsia" w:ascii="宋体" w:hAnsi="宋体" w:eastAsia="宋体" w:cs="宋体"/>
                <w:sz w:val="21"/>
                <w:szCs w:val="21"/>
              </w:rPr>
              <w:t>个月内交付</w:t>
            </w:r>
          </w:p>
          <w:p w14:paraId="00D99E59">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宋体" w:hAnsi="宋体" w:eastAsia="宋体" w:cs="宋体"/>
                <w:sz w:val="21"/>
                <w:szCs w:val="21"/>
              </w:rPr>
            </w:pPr>
            <w:r>
              <w:rPr>
                <w:rFonts w:hint="eastAsia" w:ascii="宋体" w:hAnsi="宋体" w:eastAsia="宋体" w:cs="宋体"/>
                <w:b/>
                <w:sz w:val="21"/>
                <w:szCs w:val="21"/>
              </w:rPr>
              <w:t>交付进度：</w:t>
            </w:r>
            <w:r>
              <w:rPr>
                <w:rFonts w:hint="eastAsia" w:ascii="宋体" w:hAnsi="宋体" w:eastAsia="宋体" w:cs="宋体"/>
                <w:sz w:val="21"/>
                <w:szCs w:val="21"/>
              </w:rPr>
              <w:t>合同签订后</w:t>
            </w:r>
            <w:r>
              <w:rPr>
                <w:rFonts w:hint="eastAsia" w:ascii="宋体" w:hAnsi="宋体" w:eastAsia="宋体" w:cs="宋体"/>
                <w:sz w:val="21"/>
                <w:szCs w:val="21"/>
                <w:lang w:val="en-US" w:eastAsia="zh-CN"/>
              </w:rPr>
              <w:t>3</w:t>
            </w:r>
            <w:r>
              <w:rPr>
                <w:rFonts w:hint="eastAsia" w:ascii="宋体" w:hAnsi="宋体" w:eastAsia="宋体" w:cs="宋体"/>
                <w:sz w:val="21"/>
                <w:szCs w:val="21"/>
              </w:rPr>
              <w:t>个月内交付并完成安装调试</w:t>
            </w:r>
          </w:p>
          <w:p w14:paraId="627ABAC2">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宋体" w:hAnsi="宋体" w:eastAsia="宋体" w:cs="宋体"/>
                <w:b/>
                <w:sz w:val="21"/>
                <w:szCs w:val="21"/>
              </w:rPr>
            </w:pPr>
            <w:r>
              <w:rPr>
                <w:rFonts w:hint="eastAsia" w:ascii="宋体" w:hAnsi="宋体" w:eastAsia="宋体" w:cs="宋体"/>
                <w:b/>
                <w:sz w:val="21"/>
                <w:szCs w:val="21"/>
              </w:rPr>
              <w:t>付款方式：</w:t>
            </w:r>
          </w:p>
          <w:p w14:paraId="161F788E">
            <w:pPr>
              <w:keepNext w:val="0"/>
              <w:keepLines w:val="0"/>
              <w:pageBreakBefore w:val="0"/>
              <w:widowControl w:val="0"/>
              <w:tabs>
                <w:tab w:val="left" w:pos="6915"/>
              </w:tabs>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b/>
                <w:sz w:val="21"/>
                <w:szCs w:val="21"/>
                <w:lang w:val="en-US" w:eastAsia="zh-CN"/>
              </w:rPr>
            </w:pPr>
            <w:r>
              <w:rPr>
                <w:rFonts w:hint="eastAsia" w:ascii="宋体" w:hAnsi="宋体" w:eastAsia="宋体" w:cs="宋体"/>
                <w:sz w:val="21"/>
                <w:szCs w:val="21"/>
              </w:rPr>
              <w:t>合同签订后预付合同总额的30%，系统</w:t>
            </w:r>
            <w:r>
              <w:rPr>
                <w:rFonts w:hint="eastAsia" w:ascii="宋体" w:hAnsi="宋体" w:eastAsia="宋体" w:cs="宋体"/>
                <w:sz w:val="21"/>
                <w:szCs w:val="21"/>
                <w:lang w:val="en-US" w:eastAsia="zh-CN"/>
              </w:rPr>
              <w:t>到货、</w:t>
            </w:r>
            <w:r>
              <w:rPr>
                <w:rFonts w:hint="eastAsia" w:ascii="宋体" w:hAnsi="宋体" w:eastAsia="宋体" w:cs="宋体"/>
                <w:sz w:val="21"/>
                <w:szCs w:val="21"/>
              </w:rPr>
              <w:t>安装调试验收合格后支付合同总额的</w:t>
            </w:r>
            <w:r>
              <w:rPr>
                <w:rFonts w:hint="eastAsia" w:ascii="宋体" w:hAnsi="宋体" w:eastAsia="宋体" w:cs="宋体"/>
                <w:sz w:val="21"/>
                <w:szCs w:val="21"/>
                <w:lang w:val="en-US" w:eastAsia="zh-CN"/>
              </w:rPr>
              <w:t>70%</w:t>
            </w:r>
          </w:p>
          <w:p w14:paraId="50609E60">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宋体" w:hAnsi="宋体" w:eastAsia="宋体" w:cs="宋体"/>
                <w:b/>
                <w:sz w:val="21"/>
                <w:szCs w:val="21"/>
              </w:rPr>
            </w:pPr>
            <w:r>
              <w:rPr>
                <w:rFonts w:hint="eastAsia" w:ascii="宋体" w:hAnsi="宋体" w:eastAsia="宋体" w:cs="宋体"/>
                <w:b/>
                <w:sz w:val="21"/>
                <w:szCs w:val="21"/>
              </w:rPr>
              <w:t>验收指标及验收要求：</w:t>
            </w:r>
          </w:p>
          <w:p w14:paraId="7ACCB723">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1.上样机械臂重复定位误差优于0.1mm；</w:t>
            </w:r>
          </w:p>
          <w:p w14:paraId="0ADC8A08">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2.夹爪抓取定位误差优于0.1mm；</w:t>
            </w:r>
          </w:p>
          <w:p w14:paraId="2AB4AACF">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3.样品仓机械臂重复定位</w:t>
            </w:r>
            <w:r>
              <w:rPr>
                <w:rFonts w:hint="eastAsia" w:ascii="宋体" w:hAnsi="宋体" w:eastAsia="宋体" w:cs="宋体"/>
                <w:b w:val="0"/>
                <w:bCs/>
                <w:sz w:val="21"/>
                <w:szCs w:val="21"/>
                <w:lang w:val="en-US" w:eastAsia="zh-CN"/>
              </w:rPr>
              <w:t>误差</w:t>
            </w:r>
            <w:r>
              <w:rPr>
                <w:rFonts w:hint="eastAsia" w:ascii="宋体" w:hAnsi="宋体" w:eastAsia="宋体" w:cs="宋体"/>
                <w:b w:val="0"/>
                <w:bCs/>
                <w:sz w:val="21"/>
                <w:szCs w:val="21"/>
              </w:rPr>
              <w:t>优于0.1mm，预室暂存物料样品数量不少于50；</w:t>
            </w:r>
          </w:p>
          <w:p w14:paraId="06FE417C">
            <w:pPr>
              <w:keepNext w:val="0"/>
              <w:keepLines w:val="0"/>
              <w:pageBreakBefore w:val="0"/>
              <w:widowControl w:val="0"/>
              <w:tabs>
                <w:tab w:val="left" w:pos="6915"/>
              </w:tabs>
              <w:kinsoku/>
              <w:wordWrap/>
              <w:overflowPunct/>
              <w:topLinePunct w:val="0"/>
              <w:autoSpaceDE/>
              <w:autoSpaceDN/>
              <w:bidi w:val="0"/>
              <w:adjustRightInd w:val="0"/>
              <w:snapToGrid w:val="0"/>
              <w:spacing w:before="120" w:line="240" w:lineRule="auto"/>
              <w:jc w:val="left"/>
              <w:textAlignment w:val="auto"/>
              <w:rPr>
                <w:rFonts w:hint="eastAsia" w:ascii="Times New Roman" w:hAnsi="Times New Roman" w:eastAsia="宋体" w:cs="Times New Roman"/>
                <w:szCs w:val="24"/>
              </w:rPr>
            </w:pPr>
            <w:r>
              <w:rPr>
                <w:rFonts w:hint="eastAsia" w:ascii="宋体" w:hAnsi="宋体" w:eastAsia="宋体" w:cs="宋体"/>
                <w:b/>
                <w:sz w:val="21"/>
                <w:szCs w:val="21"/>
              </w:rPr>
              <w:t>保修及售后服务：</w:t>
            </w:r>
            <w:r>
              <w:rPr>
                <w:rFonts w:hint="eastAsia" w:ascii="宋体" w:hAnsi="宋体" w:eastAsia="宋体" w:cs="宋体"/>
                <w:sz w:val="21"/>
                <w:szCs w:val="21"/>
              </w:rPr>
              <w:t>质保期一年</w:t>
            </w:r>
          </w:p>
        </w:tc>
        <w:tc>
          <w:tcPr>
            <w:tcW w:w="1418" w:type="dxa"/>
            <w:vAlign w:val="center"/>
          </w:tcPr>
          <w:p w14:paraId="324B1D27">
            <w:pPr>
              <w:spacing w:line="240" w:lineRule="atLeast"/>
              <w:jc w:val="center"/>
            </w:pPr>
          </w:p>
        </w:tc>
        <w:tc>
          <w:tcPr>
            <w:tcW w:w="992" w:type="dxa"/>
            <w:vAlign w:val="center"/>
          </w:tcPr>
          <w:p w14:paraId="06AA2CA0">
            <w:pPr>
              <w:spacing w:line="240" w:lineRule="atLeast"/>
              <w:jc w:val="center"/>
            </w:pPr>
          </w:p>
        </w:tc>
      </w:tr>
    </w:tbl>
    <w:p w14:paraId="6DFFEB29">
      <w:pPr>
        <w:ind w:right="840"/>
        <w:rPr>
          <w:sz w:val="24"/>
        </w:rPr>
      </w:pPr>
    </w:p>
    <w:p w14:paraId="0DED7F3B">
      <w:pPr>
        <w:ind w:right="840" w:firstLine="5040" w:firstLineChars="2100"/>
        <w:rPr>
          <w:sz w:val="24"/>
        </w:rPr>
      </w:pPr>
    </w:p>
    <w:p w14:paraId="287DDEA5">
      <w:pPr>
        <w:ind w:right="840" w:firstLine="5040" w:firstLineChars="2100"/>
        <w:rPr>
          <w:sz w:val="24"/>
        </w:rPr>
      </w:pPr>
    </w:p>
    <w:p w14:paraId="663E47C9">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p w14:paraId="7A2AB87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E114D5"/>
    <w:multiLevelType w:val="multilevel"/>
    <w:tmpl w:val="0AE114D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FF35E04"/>
    <w:multiLevelType w:val="multilevel"/>
    <w:tmpl w:val="1FF35E0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7DA72DD"/>
    <w:multiLevelType w:val="multilevel"/>
    <w:tmpl w:val="37DA72DD"/>
    <w:lvl w:ilvl="0" w:tentative="0">
      <w:start w:val="1"/>
      <w:numFmt w:val="decimal"/>
      <w:pStyle w:val="5"/>
      <w:lvlText w:val="%1."/>
      <w:lvlJc w:val="left"/>
      <w:pPr>
        <w:ind w:left="720" w:hanging="360"/>
      </w:pPr>
      <w:rPr>
        <w:rFonts w:hint="default" w:ascii="Times New Roman" w:hAnsi="Times New Roman"/>
        <w:sz w:val="18"/>
        <w:szCs w:val="18"/>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3983623E"/>
    <w:multiLevelType w:val="multilevel"/>
    <w:tmpl w:val="3983623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C5042DA"/>
    <w:multiLevelType w:val="multilevel"/>
    <w:tmpl w:val="5C5042D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5180928"/>
    <w:multiLevelType w:val="multilevel"/>
    <w:tmpl w:val="6518092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82071F4"/>
    <w:multiLevelType w:val="multilevel"/>
    <w:tmpl w:val="682071F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ECE163A"/>
    <w:multiLevelType w:val="multilevel"/>
    <w:tmpl w:val="6ECE163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4"/>
  </w:num>
  <w:num w:numId="3">
    <w:abstractNumId w:val="3"/>
  </w:num>
  <w:num w:numId="4">
    <w:abstractNumId w:val="0"/>
  </w:num>
  <w:num w:numId="5">
    <w:abstractNumId w:val="1"/>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52FDE"/>
    <w:rsid w:val="3F752FDE"/>
    <w:rsid w:val="502D0E0E"/>
    <w:rsid w:val="5B7C5DB8"/>
    <w:rsid w:val="77C16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autoRedefine/>
    <w:qFormat/>
    <w:uiPriority w:val="99"/>
    <w:pPr>
      <w:widowControl/>
      <w:numPr>
        <w:ilvl w:val="0"/>
        <w:numId w:val="1"/>
      </w:numPr>
      <w:contextualSpacing/>
      <w:jc w:val="left"/>
      <w:textAlignment w:val="center"/>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1439</Words>
  <Characters>1510</Characters>
  <Lines>0</Lines>
  <Paragraphs>0</Paragraphs>
  <TotalTime>1</TotalTime>
  <ScaleCrop>false</ScaleCrop>
  <LinksUpToDate>false</LinksUpToDate>
  <CharactersWithSpaces>1543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2025-10-23T08:03:00Z</dcterms:created>
  <dc:creator>amour</dc:creator>
  <cp:lastModifiedBy>amour</cp:lastModifiedBy>
  <dcterms:modified xsi:type="dcterms:W3CDTF">2025-11-21T10:19:55Z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01BFBF71547B476CB8FD14EE510EE09B_13</vt:lpwstr>
  </property>
  <property fmtid="{D5CDD505-2E9C-101B-9397-08002B2CF9AE}" pid="4" name="KSOTemplateDocerSaveRecord">
    <vt:lpwstr>eyJoZGlkIjoiN2RmNGQ2MDc0ZGFiNmIyNjNmMmJiNzcxMzg1OWQzY2YiLCJ1c2VySWQiOiIxMDQxNDY4Njc5In0=</vt:lpwstr>
  </property>
</Properties>
</file>