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真空兼容原位拉伸变温装置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38985F1">
            <w:pPr>
              <w:rPr>
                <w:rFonts w:ascii="宋体" w:hAnsi="宋体"/>
                <w:b/>
                <w:szCs w:val="21"/>
              </w:rPr>
            </w:pPr>
            <w:bookmarkStart w:id="0" w:name="OLE_LINK41"/>
            <w:bookmarkStart w:id="1" w:name="OLE_LINK40"/>
            <w:r>
              <w:rPr>
                <w:rFonts w:ascii="宋体" w:hAnsi="宋体"/>
                <w:b/>
                <w:szCs w:val="21"/>
              </w:rPr>
              <w:t xml:space="preserve">1. </w:t>
            </w:r>
            <w:r>
              <w:rPr>
                <w:rFonts w:hint="eastAsia" w:ascii="宋体" w:hAnsi="宋体"/>
                <w:b/>
                <w:szCs w:val="21"/>
              </w:rPr>
              <w:t>基本描述</w:t>
            </w:r>
          </w:p>
          <w:bookmarkEnd w:id="0"/>
          <w:bookmarkEnd w:id="1"/>
          <w:p w14:paraId="4FF22473">
            <w:pPr>
              <w:tabs>
                <w:tab w:val="left" w:pos="6915"/>
              </w:tabs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 </w:t>
            </w:r>
            <w:r>
              <w:rPr>
                <w:rFonts w:ascii="宋体" w:hAnsi="宋体" w:cs="宋体"/>
                <w:bCs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szCs w:val="21"/>
              </w:rPr>
              <w:t>真空兼容原位拉伸变温装置由拉伸模块、变温模块（2个冷热台，其中1个可独立使用并实现变温功能）、温度控制器、液氮罐及管路、液氮控制器、适配实验腔体的法兰接口和连接线等组成，用于支撑多尺度时空分辨共振相干散射线站用户在透射、掠入射等散射几何条件下，开展有机高分子功能材料的原位拉伸与变温实验。</w:t>
            </w:r>
          </w:p>
          <w:p w14:paraId="768BD669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hint="eastAsia" w:ascii="宋体" w:hAnsi="宋体"/>
                <w:b/>
                <w:szCs w:val="21"/>
              </w:rPr>
              <w:t>.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主要技术参数</w:t>
            </w:r>
          </w:p>
          <w:tbl>
            <w:tblPr>
              <w:tblStyle w:val="6"/>
              <w:tblW w:w="505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21"/>
              <w:gridCol w:w="3038"/>
            </w:tblGrid>
            <w:tr w14:paraId="42FA850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9" w:hRule="atLeast"/>
                <w:jc w:val="center"/>
              </w:trPr>
              <w:tc>
                <w:tcPr>
                  <w:tcW w:w="2021" w:type="dxa"/>
                </w:tcPr>
                <w:p w14:paraId="12EB12B7">
                  <w:pPr>
                    <w:spacing w:after="100" w:afterAutospacing="1"/>
                    <w:jc w:val="center"/>
                    <w:rPr>
                      <w:b/>
                      <w:szCs w:val="21"/>
                    </w:rPr>
                  </w:pPr>
                  <w:bookmarkStart w:id="2" w:name="OLE_LINK42"/>
                  <w:bookmarkStart w:id="3" w:name="OLE_LINK43"/>
                  <w:r>
                    <w:rPr>
                      <w:b/>
                      <w:szCs w:val="21"/>
                    </w:rPr>
                    <w:t>技术指标</w:t>
                  </w:r>
                </w:p>
              </w:tc>
              <w:tc>
                <w:tcPr>
                  <w:tcW w:w="3038" w:type="dxa"/>
                </w:tcPr>
                <w:p w14:paraId="5F39AEFA">
                  <w:pPr>
                    <w:spacing w:after="100" w:afterAutospacing="1"/>
                    <w:jc w:val="center"/>
                    <w:rPr>
                      <w:b/>
                      <w:szCs w:val="21"/>
                    </w:rPr>
                  </w:pPr>
                  <w:r>
                    <w:rPr>
                      <w:b/>
                      <w:szCs w:val="21"/>
                    </w:rPr>
                    <w:t>技术参数</w:t>
                  </w:r>
                </w:p>
              </w:tc>
            </w:tr>
            <w:tr w14:paraId="7F02007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8" w:hRule="atLeast"/>
                <w:jc w:val="center"/>
              </w:trPr>
              <w:tc>
                <w:tcPr>
                  <w:tcW w:w="2021" w:type="dxa"/>
                </w:tcPr>
                <w:p w14:paraId="1FCD95EA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真空兼容性</w:t>
                  </w:r>
                </w:p>
              </w:tc>
              <w:tc>
                <w:tcPr>
                  <w:tcW w:w="3038" w:type="dxa"/>
                </w:tcPr>
                <w:p w14:paraId="2CFCF2F9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可放置在</w:t>
                  </w:r>
                  <w:r>
                    <w:rPr>
                      <w:szCs w:val="21"/>
                    </w:rPr>
                    <w:t>1</w:t>
                  </w:r>
                  <w:r>
                    <w:rPr>
                      <w:szCs w:val="21"/>
                    </w:rPr>
                    <w:sym w:font="Wingdings 2" w:char="F0CD"/>
                  </w:r>
                  <w:r>
                    <w:rPr>
                      <w:szCs w:val="21"/>
                    </w:rPr>
                    <w:t>10</w:t>
                  </w:r>
                  <w:r>
                    <w:rPr>
                      <w:szCs w:val="21"/>
                      <w:vertAlign w:val="superscript"/>
                    </w:rPr>
                    <w:t>-5</w:t>
                  </w:r>
                  <w:r>
                    <w:rPr>
                      <w:szCs w:val="21"/>
                    </w:rPr>
                    <w:t xml:space="preserve"> Pa</w:t>
                  </w:r>
                  <w:r>
                    <w:rPr>
                      <w:rFonts w:hint="eastAsia"/>
                      <w:szCs w:val="21"/>
                    </w:rPr>
                    <w:t>高真空环境下稳定运行</w:t>
                  </w:r>
                </w:p>
              </w:tc>
            </w:tr>
            <w:tr w14:paraId="51BADB3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9" w:hRule="atLeast"/>
                <w:jc w:val="center"/>
              </w:trPr>
              <w:tc>
                <w:tcPr>
                  <w:tcW w:w="2021" w:type="dxa"/>
                </w:tcPr>
                <w:p w14:paraId="0AD7BB8E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拉力范围</w:t>
                  </w:r>
                </w:p>
              </w:tc>
              <w:tc>
                <w:tcPr>
                  <w:tcW w:w="3038" w:type="dxa"/>
                </w:tcPr>
                <w:p w14:paraId="1142FB99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0-200 N</w:t>
                  </w:r>
                </w:p>
              </w:tc>
            </w:tr>
            <w:tr w14:paraId="7D26B21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9" w:hRule="atLeast"/>
                <w:jc w:val="center"/>
              </w:trPr>
              <w:tc>
                <w:tcPr>
                  <w:tcW w:w="2021" w:type="dxa"/>
                </w:tcPr>
                <w:p w14:paraId="0878EDDB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拉力分辨率</w:t>
                  </w:r>
                </w:p>
              </w:tc>
              <w:tc>
                <w:tcPr>
                  <w:tcW w:w="3038" w:type="dxa"/>
                </w:tcPr>
                <w:p w14:paraId="22499D5D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0.01 N</w:t>
                  </w:r>
                </w:p>
              </w:tc>
            </w:tr>
            <w:tr w14:paraId="1EFC60B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9" w:hRule="atLeast"/>
                <w:jc w:val="center"/>
              </w:trPr>
              <w:tc>
                <w:tcPr>
                  <w:tcW w:w="2021" w:type="dxa"/>
                </w:tcPr>
                <w:p w14:paraId="508B8DEC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拉伸速度</w:t>
                  </w:r>
                </w:p>
              </w:tc>
              <w:tc>
                <w:tcPr>
                  <w:tcW w:w="3038" w:type="dxa"/>
                </w:tcPr>
                <w:p w14:paraId="14D087F4">
                  <w:pPr>
                    <w:spacing w:after="100" w:afterAutospacing="1"/>
                    <w:rPr>
                      <w:szCs w:val="21"/>
                    </w:rPr>
                  </w:pPr>
                  <w:bookmarkStart w:id="4" w:name="OLE_LINK1"/>
                  <w:r>
                    <w:rPr>
                      <w:szCs w:val="21"/>
                    </w:rPr>
                    <w:t>1-</w:t>
                  </w:r>
                  <w:bookmarkEnd w:id="4"/>
                  <w:r>
                    <w:rPr>
                      <w:szCs w:val="21"/>
                    </w:rPr>
                    <w:t xml:space="preserve">600 </w:t>
                  </w:r>
                  <w:bookmarkStart w:id="5" w:name="OLE_LINK9"/>
                  <w:bookmarkStart w:id="6" w:name="OLE_LINK2"/>
                  <w:r>
                    <w:rPr>
                      <w:i/>
                      <w:szCs w:val="21"/>
                    </w:rPr>
                    <w:t>μ</w:t>
                  </w:r>
                  <w:r>
                    <w:rPr>
                      <w:szCs w:val="21"/>
                    </w:rPr>
                    <w:t>m</w:t>
                  </w:r>
                  <w:bookmarkEnd w:id="5"/>
                  <w:r>
                    <w:rPr>
                      <w:szCs w:val="21"/>
                    </w:rPr>
                    <w:t>/s</w:t>
                  </w:r>
                  <w:bookmarkEnd w:id="6"/>
                </w:p>
              </w:tc>
            </w:tr>
            <w:tr w14:paraId="33B1D6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9" w:hRule="atLeast"/>
                <w:jc w:val="center"/>
              </w:trPr>
              <w:tc>
                <w:tcPr>
                  <w:tcW w:w="2021" w:type="dxa"/>
                </w:tcPr>
                <w:p w14:paraId="5317852E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最大拉伸行程</w:t>
                  </w:r>
                </w:p>
              </w:tc>
              <w:tc>
                <w:tcPr>
                  <w:tcW w:w="3038" w:type="dxa"/>
                </w:tcPr>
                <w:p w14:paraId="485D05BC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≥ 80 mm</w:t>
                  </w:r>
                </w:p>
              </w:tc>
            </w:tr>
            <w:tr w14:paraId="3161867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9" w:hRule="atLeast"/>
                <w:jc w:val="center"/>
              </w:trPr>
              <w:tc>
                <w:tcPr>
                  <w:tcW w:w="2021" w:type="dxa"/>
                </w:tcPr>
                <w:p w14:paraId="488BABE7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夹具最大初始间距</w:t>
                  </w:r>
                </w:p>
              </w:tc>
              <w:tc>
                <w:tcPr>
                  <w:tcW w:w="3038" w:type="dxa"/>
                </w:tcPr>
                <w:p w14:paraId="314EA6CB">
                  <w:pPr>
                    <w:spacing w:after="100" w:afterAutospacing="1"/>
                    <w:rPr>
                      <w:szCs w:val="21"/>
                    </w:rPr>
                  </w:pPr>
                  <w:bookmarkStart w:id="7" w:name="OLE_LINK11"/>
                  <w:bookmarkStart w:id="8" w:name="OLE_LINK10"/>
                  <w:bookmarkStart w:id="9" w:name="OLE_LINK16"/>
                  <w:bookmarkStart w:id="10" w:name="OLE_LINK15"/>
                  <w:r>
                    <w:rPr>
                      <w:szCs w:val="21"/>
                    </w:rPr>
                    <w:t>≤</w:t>
                  </w:r>
                  <w:bookmarkEnd w:id="7"/>
                  <w:bookmarkEnd w:id="8"/>
                  <w:r>
                    <w:rPr>
                      <w:szCs w:val="21"/>
                    </w:rPr>
                    <w:t xml:space="preserve"> </w:t>
                  </w:r>
                  <w:bookmarkEnd w:id="9"/>
                  <w:bookmarkEnd w:id="10"/>
                  <w:r>
                    <w:rPr>
                      <w:szCs w:val="21"/>
                    </w:rPr>
                    <w:t>20 mm</w:t>
                  </w:r>
                </w:p>
              </w:tc>
            </w:tr>
            <w:tr w14:paraId="73D97A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9" w:hRule="atLeast"/>
                <w:jc w:val="center"/>
              </w:trPr>
              <w:tc>
                <w:tcPr>
                  <w:tcW w:w="2021" w:type="dxa"/>
                </w:tcPr>
                <w:p w14:paraId="0570A9CD">
                  <w:pPr>
                    <w:spacing w:after="100" w:afterAutospacing="1"/>
                    <w:rPr>
                      <w:szCs w:val="21"/>
                    </w:rPr>
                  </w:pPr>
                  <w:bookmarkStart w:id="11" w:name="_Hlk230335847"/>
                  <w:r>
                    <w:rPr>
                      <w:rFonts w:hint="eastAsia"/>
                      <w:szCs w:val="21"/>
                    </w:rPr>
                    <w:t>重复定位精度</w:t>
                  </w:r>
                </w:p>
              </w:tc>
              <w:tc>
                <w:tcPr>
                  <w:tcW w:w="3038" w:type="dxa"/>
                </w:tcPr>
                <w:p w14:paraId="4E2EC8C8">
                  <w:pPr>
                    <w:spacing w:after="100" w:afterAutospacing="1"/>
                    <w:rPr>
                      <w:szCs w:val="21"/>
                    </w:rPr>
                  </w:pPr>
                  <w:bookmarkStart w:id="12" w:name="OLE_LINK6"/>
                  <w:r>
                    <w:rPr>
                      <w:szCs w:val="21"/>
                    </w:rPr>
                    <w:t xml:space="preserve">±2 </w:t>
                  </w:r>
                  <w:r>
                    <w:rPr>
                      <w:i/>
                      <w:szCs w:val="21"/>
                    </w:rPr>
                    <w:t>μ</w:t>
                  </w:r>
                  <w:r>
                    <w:rPr>
                      <w:szCs w:val="21"/>
                    </w:rPr>
                    <w:t xml:space="preserve">m @1-600 </w:t>
                  </w:r>
                  <w:r>
                    <w:rPr>
                      <w:i/>
                      <w:szCs w:val="21"/>
                    </w:rPr>
                    <w:t>μ</w:t>
                  </w:r>
                  <w:r>
                    <w:rPr>
                      <w:szCs w:val="21"/>
                    </w:rPr>
                    <w:t>m/s</w:t>
                  </w:r>
                  <w:bookmarkEnd w:id="12"/>
                </w:p>
              </w:tc>
            </w:tr>
            <w:bookmarkEnd w:id="11"/>
            <w:tr w14:paraId="5802F6F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9" w:hRule="atLeast"/>
                <w:jc w:val="center"/>
              </w:trPr>
              <w:tc>
                <w:tcPr>
                  <w:tcW w:w="2021" w:type="dxa"/>
                </w:tcPr>
                <w:p w14:paraId="792BEC95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温度范围</w:t>
                  </w:r>
                </w:p>
              </w:tc>
              <w:tc>
                <w:tcPr>
                  <w:tcW w:w="3038" w:type="dxa"/>
                </w:tcPr>
                <w:p w14:paraId="2520023F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-100-300</w:t>
                  </w:r>
                  <w:bookmarkStart w:id="13" w:name="OLE_LINK4"/>
                  <w:bookmarkStart w:id="14" w:name="OLE_LINK5"/>
                  <w:r>
                    <w:rPr>
                      <w:szCs w:val="21"/>
                    </w:rPr>
                    <w:t>℃</w:t>
                  </w:r>
                  <w:bookmarkEnd w:id="13"/>
                  <w:bookmarkEnd w:id="14"/>
                </w:p>
              </w:tc>
            </w:tr>
            <w:tr w14:paraId="2861FD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9" w:hRule="atLeast"/>
                <w:jc w:val="center"/>
              </w:trPr>
              <w:tc>
                <w:tcPr>
                  <w:tcW w:w="2021" w:type="dxa"/>
                </w:tcPr>
                <w:p w14:paraId="04C83D0B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最大升降温速率</w:t>
                  </w:r>
                </w:p>
              </w:tc>
              <w:tc>
                <w:tcPr>
                  <w:tcW w:w="3038" w:type="dxa"/>
                </w:tcPr>
                <w:p w14:paraId="10DA7909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 xml:space="preserve">30 </w:t>
                  </w:r>
                  <w:bookmarkStart w:id="15" w:name="OLE_LINK7"/>
                  <w:bookmarkStart w:id="16" w:name="OLE_LINK8"/>
                  <w:r>
                    <w:rPr>
                      <w:szCs w:val="21"/>
                    </w:rPr>
                    <w:t>℃</w:t>
                  </w:r>
                  <w:bookmarkEnd w:id="15"/>
                  <w:bookmarkEnd w:id="16"/>
                  <w:r>
                    <w:rPr>
                      <w:szCs w:val="21"/>
                    </w:rPr>
                    <w:t>/min</w:t>
                  </w:r>
                </w:p>
              </w:tc>
            </w:tr>
            <w:tr w14:paraId="71E501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8" w:hRule="atLeast"/>
                <w:jc w:val="center"/>
              </w:trPr>
              <w:tc>
                <w:tcPr>
                  <w:tcW w:w="2021" w:type="dxa"/>
                </w:tcPr>
                <w:p w14:paraId="7082F401">
                  <w:pPr>
                    <w:spacing w:after="100" w:afterAutospacing="1"/>
                    <w:rPr>
                      <w:szCs w:val="21"/>
                    </w:rPr>
                  </w:pPr>
                  <w:bookmarkStart w:id="17" w:name="_Hlk230335127"/>
                  <w:r>
                    <w:rPr>
                      <w:rFonts w:hint="eastAsia"/>
                      <w:szCs w:val="21"/>
                    </w:rPr>
                    <w:t>控温精度</w:t>
                  </w:r>
                </w:p>
              </w:tc>
              <w:tc>
                <w:tcPr>
                  <w:tcW w:w="3038" w:type="dxa"/>
                </w:tcPr>
                <w:p w14:paraId="6AD7BFC6">
                  <w:pPr>
                    <w:spacing w:after="100" w:afterAutospacing="1"/>
                    <w:rPr>
                      <w:szCs w:val="21"/>
                    </w:rPr>
                  </w:pPr>
                  <w:bookmarkStart w:id="18" w:name="OLE_LINK21"/>
                  <w:r>
                    <w:rPr>
                      <w:szCs w:val="21"/>
                    </w:rPr>
                    <w:t>±</w:t>
                  </w:r>
                  <w:bookmarkEnd w:id="18"/>
                  <w:r>
                    <w:rPr>
                      <w:szCs w:val="21"/>
                    </w:rPr>
                    <w:t>0.5℃</w:t>
                  </w:r>
                </w:p>
              </w:tc>
            </w:tr>
            <w:bookmarkEnd w:id="2"/>
            <w:bookmarkEnd w:id="3"/>
            <w:bookmarkEnd w:id="17"/>
          </w:tbl>
          <w:p w14:paraId="4438780A">
            <w:pPr>
              <w:rPr>
                <w:b/>
                <w:szCs w:val="21"/>
              </w:rPr>
            </w:pPr>
            <w:bookmarkStart w:id="19" w:name="OLE_LINK39"/>
            <w:bookmarkStart w:id="20" w:name="OLE_LINK38"/>
            <w:bookmarkStart w:id="21" w:name="OLE_LINK36"/>
            <w:bookmarkStart w:id="22" w:name="OLE_LINK37"/>
            <w:r>
              <w:rPr>
                <w:b/>
                <w:szCs w:val="21"/>
              </w:rPr>
              <w:t>3.</w:t>
            </w:r>
            <w:r>
              <w:rPr>
                <w:szCs w:val="21"/>
              </w:rPr>
              <w:t xml:space="preserve"> </w:t>
            </w:r>
            <w:r>
              <w:rPr>
                <w:b/>
                <w:szCs w:val="21"/>
              </w:rPr>
              <w:t>控制器要求</w:t>
            </w:r>
          </w:p>
          <w:bookmarkEnd w:id="19"/>
          <w:bookmarkEnd w:id="20"/>
          <w:p w14:paraId="4561F777">
            <w:pPr>
              <w:rPr>
                <w:szCs w:val="21"/>
              </w:rPr>
            </w:pPr>
            <w:r>
              <w:rPr>
                <w:szCs w:val="21"/>
              </w:rPr>
              <w:t>(1) 真空兼容原位拉伸变温装置需兼容LabVIEW及EPICS控制系统</w:t>
            </w:r>
            <w:r>
              <w:rPr>
                <w:rFonts w:hint="eastAsia"/>
                <w:szCs w:val="21"/>
              </w:rPr>
              <w:t>；</w:t>
            </w:r>
          </w:p>
          <w:p w14:paraId="5A5F7648">
            <w:pPr>
              <w:rPr>
                <w:b/>
                <w:bCs/>
                <w:szCs w:val="21"/>
              </w:rPr>
            </w:pPr>
            <w:r>
              <w:rPr>
                <w:szCs w:val="21"/>
              </w:rPr>
              <w:t>(2) 供应商需提供一套基本操作软件，具备联动控制功能及相应的操作界面</w:t>
            </w:r>
            <w:r>
              <w:rPr>
                <w:rFonts w:hint="eastAsia"/>
                <w:szCs w:val="21"/>
              </w:rPr>
              <w:t>。</w:t>
            </w:r>
          </w:p>
          <w:bookmarkEnd w:id="21"/>
          <w:bookmarkEnd w:id="22"/>
          <w:p w14:paraId="1B499122">
            <w:pPr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4. 安装空间、尺寸要求</w:t>
            </w:r>
          </w:p>
          <w:p w14:paraId="70518B2F">
            <w:pPr>
              <w:rPr>
                <w:szCs w:val="21"/>
              </w:rPr>
            </w:pPr>
            <w:r>
              <w:rPr>
                <w:szCs w:val="21"/>
              </w:rPr>
              <w:t>(1) 原位拉伸变温装置外形尺寸：</w:t>
            </w:r>
            <w:bookmarkStart w:id="23" w:name="OLE_LINK12"/>
            <w:r>
              <w:rPr>
                <w:szCs w:val="21"/>
              </w:rPr>
              <w:t>≤ 200 mm</w:t>
            </w:r>
            <w:bookmarkStart w:id="24" w:name="OLE_LINK13"/>
            <w:bookmarkStart w:id="25" w:name="OLE_LINK14"/>
            <w:r>
              <w:rPr>
                <w:szCs w:val="21"/>
              </w:rPr>
              <w:t>（长）</w:t>
            </w:r>
            <w:bookmarkEnd w:id="23"/>
            <w:bookmarkEnd w:id="24"/>
            <w:bookmarkEnd w:id="25"/>
            <w:bookmarkStart w:id="26" w:name="OLE_LINK31"/>
            <w:bookmarkStart w:id="27" w:name="OLE_LINK30"/>
            <w:r>
              <w:rPr>
                <w:szCs w:val="21"/>
              </w:rPr>
              <w:sym w:font="Wingdings 2" w:char="F0CD"/>
            </w:r>
            <w:bookmarkEnd w:id="26"/>
            <w:bookmarkEnd w:id="27"/>
            <w:r>
              <w:rPr>
                <w:szCs w:val="21"/>
              </w:rPr>
              <w:t>190 mm（宽）</w:t>
            </w:r>
            <w:r>
              <w:rPr>
                <w:szCs w:val="21"/>
              </w:rPr>
              <w:sym w:font="Wingdings 2" w:char="F0CD"/>
            </w:r>
            <w:r>
              <w:rPr>
                <w:szCs w:val="21"/>
              </w:rPr>
              <w:t>50 mm（高），且样品处冷热台高度≤ 25 mm；</w:t>
            </w:r>
          </w:p>
          <w:p w14:paraId="03556F02">
            <w:pPr>
              <w:rPr>
                <w:b/>
                <w:bCs/>
                <w:szCs w:val="21"/>
              </w:rPr>
            </w:pPr>
            <w:r>
              <w:rPr>
                <w:szCs w:val="21"/>
              </w:rPr>
              <w:t>(2) 所有模块（包括拉伸台框架、电机、线缆等）均不得遮挡或干扰X射线光路。</w:t>
            </w:r>
          </w:p>
          <w:p w14:paraId="1BE031BD">
            <w:pPr>
              <w:tabs>
                <w:tab w:val="left" w:pos="6915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drawing>
                <wp:inline distT="0" distB="0" distL="0" distR="0">
                  <wp:extent cx="1779270" cy="1619885"/>
                  <wp:effectExtent l="0" t="0" r="11430" b="1841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screen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577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BFCE36">
            <w:pPr>
              <w:tabs>
                <w:tab w:val="left" w:pos="6915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真空兼容原位拉伸变温装置示意图，中间橙色部分为冷热台</w:t>
            </w:r>
          </w:p>
          <w:p w14:paraId="5FDB9B04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合同签订后2个月内甲乙双方完成设计图纸会签，设计图纸会签后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个月内完成加工并送达至指点地点</w:t>
            </w:r>
          </w:p>
          <w:p w14:paraId="4861F634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一次性交付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szCs w:val="21"/>
              </w:rPr>
              <w:t>合同签订后，预付合同总金额40%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货到验收合格且收到乙方提供的全额发票后，10个工作日内付清尾款</w:t>
            </w:r>
            <w:r>
              <w:rPr>
                <w:rFonts w:hint="eastAsia"/>
                <w:szCs w:val="21"/>
              </w:rPr>
              <w:t>。</w:t>
            </w:r>
          </w:p>
          <w:p w14:paraId="50609E6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3592B93C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厂家需对下表中的参数进行测试，并提供测试报告。</w:t>
            </w:r>
          </w:p>
          <w:tbl>
            <w:tblPr>
              <w:tblStyle w:val="6"/>
              <w:tblW w:w="495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82"/>
              <w:gridCol w:w="2977"/>
            </w:tblGrid>
            <w:tr w14:paraId="505921D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1982" w:type="dxa"/>
                </w:tcPr>
                <w:p w14:paraId="456FCA36">
                  <w:pPr>
                    <w:spacing w:after="100" w:afterAutospacing="1"/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验收</w:t>
                  </w:r>
                  <w:r>
                    <w:rPr>
                      <w:b/>
                      <w:szCs w:val="21"/>
                    </w:rPr>
                    <w:t>指标</w:t>
                  </w:r>
                </w:p>
              </w:tc>
              <w:tc>
                <w:tcPr>
                  <w:tcW w:w="2977" w:type="dxa"/>
                </w:tcPr>
                <w:p w14:paraId="6CAD5314">
                  <w:pPr>
                    <w:spacing w:after="100" w:afterAutospacing="1"/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验收要求</w:t>
                  </w:r>
                </w:p>
              </w:tc>
            </w:tr>
            <w:tr w14:paraId="04ABB94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9" w:hRule="atLeast"/>
                <w:jc w:val="center"/>
              </w:trPr>
              <w:tc>
                <w:tcPr>
                  <w:tcW w:w="1982" w:type="dxa"/>
                </w:tcPr>
                <w:p w14:paraId="0673635D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真空兼容性</w:t>
                  </w:r>
                </w:p>
              </w:tc>
              <w:tc>
                <w:tcPr>
                  <w:tcW w:w="2977" w:type="dxa"/>
                </w:tcPr>
                <w:p w14:paraId="13B793BF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可放置在</w:t>
                  </w:r>
                  <w:r>
                    <w:rPr>
                      <w:szCs w:val="21"/>
                    </w:rPr>
                    <w:t>1</w:t>
                  </w:r>
                  <w:r>
                    <w:rPr>
                      <w:szCs w:val="21"/>
                    </w:rPr>
                    <w:sym w:font="Wingdings 2" w:char="F0CD"/>
                  </w:r>
                  <w:r>
                    <w:rPr>
                      <w:szCs w:val="21"/>
                    </w:rPr>
                    <w:t>10</w:t>
                  </w:r>
                  <w:r>
                    <w:rPr>
                      <w:szCs w:val="21"/>
                      <w:vertAlign w:val="superscript"/>
                    </w:rPr>
                    <w:t>-5</w:t>
                  </w:r>
                  <w:r>
                    <w:rPr>
                      <w:szCs w:val="21"/>
                    </w:rPr>
                    <w:t xml:space="preserve"> Pa</w:t>
                  </w:r>
                  <w:r>
                    <w:rPr>
                      <w:rFonts w:hint="eastAsia"/>
                      <w:szCs w:val="21"/>
                    </w:rPr>
                    <w:t>高真空环境下稳定运行</w:t>
                  </w:r>
                </w:p>
              </w:tc>
            </w:tr>
            <w:tr w14:paraId="0981034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1982" w:type="dxa"/>
                </w:tcPr>
                <w:p w14:paraId="4AEF25FE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拉力范围</w:t>
                  </w:r>
                </w:p>
              </w:tc>
              <w:tc>
                <w:tcPr>
                  <w:tcW w:w="2977" w:type="dxa"/>
                </w:tcPr>
                <w:p w14:paraId="53915544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0-200 N</w:t>
                  </w:r>
                </w:p>
              </w:tc>
            </w:tr>
            <w:tr w14:paraId="7AC6BD9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1982" w:type="dxa"/>
                </w:tcPr>
                <w:p w14:paraId="35683C2C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拉力分辨率</w:t>
                  </w:r>
                </w:p>
              </w:tc>
              <w:tc>
                <w:tcPr>
                  <w:tcW w:w="2977" w:type="dxa"/>
                </w:tcPr>
                <w:p w14:paraId="7AD93B59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0.01 N</w:t>
                  </w:r>
                </w:p>
              </w:tc>
            </w:tr>
            <w:tr w14:paraId="52FD338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1982" w:type="dxa"/>
                </w:tcPr>
                <w:p w14:paraId="3564383A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拉伸速度</w:t>
                  </w:r>
                </w:p>
              </w:tc>
              <w:tc>
                <w:tcPr>
                  <w:tcW w:w="2977" w:type="dxa"/>
                </w:tcPr>
                <w:p w14:paraId="60CDD1F9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 xml:space="preserve">1-600 </w:t>
                  </w:r>
                  <w:r>
                    <w:rPr>
                      <w:i/>
                      <w:szCs w:val="21"/>
                    </w:rPr>
                    <w:t>μ</w:t>
                  </w:r>
                  <w:r>
                    <w:rPr>
                      <w:szCs w:val="21"/>
                    </w:rPr>
                    <w:t>m/s</w:t>
                  </w:r>
                </w:p>
              </w:tc>
            </w:tr>
            <w:tr w14:paraId="4E582C8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1982" w:type="dxa"/>
                </w:tcPr>
                <w:p w14:paraId="56AF3F86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最大拉伸行程</w:t>
                  </w:r>
                </w:p>
              </w:tc>
              <w:tc>
                <w:tcPr>
                  <w:tcW w:w="2977" w:type="dxa"/>
                </w:tcPr>
                <w:p w14:paraId="1C24E454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≥ 80 mm</w:t>
                  </w:r>
                </w:p>
              </w:tc>
            </w:tr>
            <w:tr w14:paraId="558308E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9" w:hRule="atLeast"/>
                <w:jc w:val="center"/>
              </w:trPr>
              <w:tc>
                <w:tcPr>
                  <w:tcW w:w="1982" w:type="dxa"/>
                </w:tcPr>
                <w:p w14:paraId="27B111DC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夹具最大初始间距</w:t>
                  </w:r>
                </w:p>
              </w:tc>
              <w:tc>
                <w:tcPr>
                  <w:tcW w:w="2977" w:type="dxa"/>
                </w:tcPr>
                <w:p w14:paraId="4F06DE17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≤ 20 mm</w:t>
                  </w:r>
                </w:p>
              </w:tc>
            </w:tr>
            <w:tr w14:paraId="2D7BF40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1982" w:type="dxa"/>
                </w:tcPr>
                <w:p w14:paraId="1EF932A7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重复定位精度</w:t>
                  </w:r>
                </w:p>
              </w:tc>
              <w:tc>
                <w:tcPr>
                  <w:tcW w:w="2977" w:type="dxa"/>
                </w:tcPr>
                <w:p w14:paraId="5918F500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 xml:space="preserve">±2 </w:t>
                  </w:r>
                  <w:r>
                    <w:rPr>
                      <w:i/>
                      <w:szCs w:val="21"/>
                    </w:rPr>
                    <w:t>μ</w:t>
                  </w:r>
                  <w:r>
                    <w:rPr>
                      <w:szCs w:val="21"/>
                    </w:rPr>
                    <w:t xml:space="preserve">m @1-600 </w:t>
                  </w:r>
                  <w:r>
                    <w:rPr>
                      <w:i/>
                      <w:szCs w:val="21"/>
                    </w:rPr>
                    <w:t>μ</w:t>
                  </w:r>
                  <w:r>
                    <w:rPr>
                      <w:szCs w:val="21"/>
                    </w:rPr>
                    <w:t>m/s</w:t>
                  </w:r>
                </w:p>
              </w:tc>
            </w:tr>
            <w:tr w14:paraId="43EEBDE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1982" w:type="dxa"/>
                </w:tcPr>
                <w:p w14:paraId="074D1054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温度范围</w:t>
                  </w:r>
                </w:p>
              </w:tc>
              <w:tc>
                <w:tcPr>
                  <w:tcW w:w="2977" w:type="dxa"/>
                </w:tcPr>
                <w:p w14:paraId="327815F2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-100-300℃</w:t>
                  </w:r>
                </w:p>
              </w:tc>
            </w:tr>
            <w:tr w14:paraId="4FA94B2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9" w:hRule="atLeast"/>
                <w:jc w:val="center"/>
              </w:trPr>
              <w:tc>
                <w:tcPr>
                  <w:tcW w:w="1982" w:type="dxa"/>
                </w:tcPr>
                <w:p w14:paraId="38F92535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最大升降温速率</w:t>
                  </w:r>
                </w:p>
              </w:tc>
              <w:tc>
                <w:tcPr>
                  <w:tcW w:w="2977" w:type="dxa"/>
                </w:tcPr>
                <w:p w14:paraId="4915429D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30 ℃/min</w:t>
                  </w:r>
                </w:p>
              </w:tc>
            </w:tr>
            <w:tr w14:paraId="5A4C596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0" w:hRule="atLeast"/>
                <w:jc w:val="center"/>
              </w:trPr>
              <w:tc>
                <w:tcPr>
                  <w:tcW w:w="1982" w:type="dxa"/>
                </w:tcPr>
                <w:p w14:paraId="272DA7F3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控温精度</w:t>
                  </w:r>
                </w:p>
              </w:tc>
              <w:tc>
                <w:tcPr>
                  <w:tcW w:w="2977" w:type="dxa"/>
                </w:tcPr>
                <w:p w14:paraId="1D90E275">
                  <w:pPr>
                    <w:spacing w:after="100" w:afterAutospacing="1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±0.5℃</w:t>
                  </w:r>
                </w:p>
              </w:tc>
            </w:tr>
          </w:tbl>
          <w:p w14:paraId="00378417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bookmarkStart w:id="28" w:name="_GoBack"/>
            <w:bookmarkEnd w:id="28"/>
            <w:r>
              <w:rPr>
                <w:rFonts w:hint="eastAsia" w:ascii="宋体" w:hAnsi="宋体"/>
                <w:b/>
                <w:szCs w:val="21"/>
              </w:rPr>
              <w:t>档案要求：</w:t>
            </w:r>
            <w:r>
              <w:rPr>
                <w:rFonts w:hint="eastAsia" w:ascii="宋体" w:hAnsi="宋体"/>
                <w:szCs w:val="21"/>
              </w:rPr>
              <w:t>设计图纸、出厂测试报告。</w:t>
            </w:r>
          </w:p>
          <w:p w14:paraId="05CAF969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szCs w:val="21"/>
              </w:rPr>
              <w:t>产品质保期为12个月，时间自验收合格之日起计算。质保期内货物出现质量问题的，乙方应自接到甲方异议之日起3日内以更换或维修等方式解决，因此所发生的费用由乙方承担。乙方免费提供必要的技术咨询以确保甲方能安全、有效的使用标的货物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3EB95518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2026-06-29T07:20:18Z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