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134"/>
        <w:gridCol w:w="5776"/>
        <w:gridCol w:w="1451"/>
        <w:gridCol w:w="1016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2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 w:val="0"/>
                <w:bCs w:val="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光谱仪真空运动机构</w:t>
            </w: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F9551BB">
            <w:pPr>
              <w:tabs>
                <w:tab w:val="left" w:pos="6915"/>
              </w:tabs>
              <w:spacing w:line="276" w:lineRule="auto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采购一套光谱仪真空运动机构，其中包括一套样品台四维真空调节机构、一套晶体四维真空调节机构、一套探测器真空调节机构，如图1所示。样品台四维真空调节机构由X轴、Y轴、Z轴、R轴位移台各一个组成，晶体四维真空调节机构由X轴、Z轴、R轴、侧摆轴位移台各一个组成，探测器真空调节机构由一个Z轴位移台组成。此外，还应配备适配的控制器及真空电极，使各位移台可以正常工作。</w:t>
            </w:r>
          </w:p>
          <w:p w14:paraId="6D74C3A6">
            <w:pPr>
              <w:tabs>
                <w:tab w:val="left" w:pos="6915"/>
              </w:tabs>
              <w:spacing w:line="276" w:lineRule="auto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光谱仪整体参考尺寸为宽240mm，长840mm，高1075mm，光谱仪另有部分尺寸在图内标注，光束线离地面高度为1453.7mm，光谱仪整体放置在800mm高的光学平台上，从光学平台表面到进出光口的高度为653.7mm，供应商应保证样品点的高度可以适配光束线高度。</w:t>
            </w:r>
          </w:p>
          <w:p w14:paraId="27F00E1E">
            <w:pPr>
              <w:tabs>
                <w:tab w:val="left" w:pos="6915"/>
              </w:tabs>
              <w:spacing w:line="276" w:lineRule="auto"/>
              <w:ind w:firstLine="420" w:firstLineChars="200"/>
              <w:jc w:val="center"/>
              <w:rPr>
                <w:bCs/>
                <w:sz w:val="24"/>
              </w:rPr>
            </w:pPr>
            <w:r>
              <w:rPr>
                <w:rFonts w:ascii="宋体" w:hAnsi="宋体"/>
                <w:bCs/>
                <w:szCs w:val="21"/>
              </w:rPr>
              <w:drawing>
                <wp:inline distT="0" distB="0" distL="0" distR="0">
                  <wp:extent cx="2997200" cy="2462530"/>
                  <wp:effectExtent l="0" t="0" r="12700" b="139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1880" cy="24912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B5C3F9">
            <w:pPr>
              <w:tabs>
                <w:tab w:val="left" w:pos="6915"/>
              </w:tabs>
              <w:spacing w:line="276" w:lineRule="auto"/>
              <w:ind w:firstLine="420" w:firstLineChars="200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图1 光谱仪真空运动机构示意图</w:t>
            </w:r>
          </w:p>
          <w:p w14:paraId="3672E252">
            <w:pPr>
              <w:tabs>
                <w:tab w:val="left" w:pos="6915"/>
              </w:tabs>
              <w:jc w:val="lef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具体</w:t>
            </w:r>
            <w:r>
              <w:rPr>
                <w:b/>
                <w:szCs w:val="21"/>
              </w:rPr>
              <w:t>技术参数要求如下。</w:t>
            </w:r>
          </w:p>
          <w:tbl>
            <w:tblPr>
              <w:tblStyle w:val="5"/>
              <w:tblW w:w="5000" w:type="pct"/>
              <w:jc w:val="center"/>
              <w:tblBorders>
                <w:top w:val="single" w:color="auto" w:sz="4" w:space="0"/>
                <w:left w:val="none" w:color="auto" w:sz="0" w:space="0"/>
                <w:bottom w:val="single" w:color="auto" w:sz="4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12"/>
              <w:gridCol w:w="745"/>
              <w:gridCol w:w="1112"/>
              <w:gridCol w:w="1295"/>
              <w:gridCol w:w="1296"/>
            </w:tblGrid>
            <w:tr w14:paraId="6F5DB038"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  <w:jc w:val="center"/>
              </w:trPr>
              <w:tc>
                <w:tcPr>
                  <w:tcW w:w="1000" w:type="pct"/>
                  <w:tcBorders>
                    <w:top w:val="single" w:color="auto" w:sz="8" w:space="0"/>
                    <w:bottom w:val="single" w:color="auto" w:sz="4" w:space="0"/>
                    <w:right w:val="nil"/>
                  </w:tcBorders>
                  <w:shd w:val="clear" w:color="auto" w:fill="auto"/>
                </w:tcPr>
                <w:p w14:paraId="7061226D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参数</w:t>
                  </w:r>
                </w:p>
              </w:tc>
              <w:tc>
                <w:tcPr>
                  <w:tcW w:w="670" w:type="pct"/>
                  <w:tcBorders>
                    <w:top w:val="single" w:color="auto" w:sz="8" w:space="0"/>
                    <w:left w:val="nil"/>
                    <w:bottom w:val="single" w:color="auto" w:sz="4" w:space="0"/>
                    <w:right w:val="nil"/>
                  </w:tcBorders>
                  <w:shd w:val="clear" w:color="auto" w:fill="auto"/>
                </w:tcPr>
                <w:p w14:paraId="5972AA1B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行程</w:t>
                  </w:r>
                </w:p>
              </w:tc>
              <w:tc>
                <w:tcPr>
                  <w:tcW w:w="1000" w:type="pct"/>
                  <w:tcBorders>
                    <w:top w:val="single" w:color="auto" w:sz="8" w:space="0"/>
                    <w:left w:val="nil"/>
                    <w:bottom w:val="single" w:color="auto" w:sz="4" w:space="0"/>
                    <w:right w:val="nil"/>
                  </w:tcBorders>
                  <w:shd w:val="clear" w:color="auto" w:fill="auto"/>
                </w:tcPr>
                <w:p w14:paraId="1EF4A70D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整步分辨率</w:t>
                  </w:r>
                </w:p>
              </w:tc>
              <w:tc>
                <w:tcPr>
                  <w:tcW w:w="1165" w:type="pct"/>
                  <w:tcBorders>
                    <w:top w:val="single" w:color="auto" w:sz="8" w:space="0"/>
                    <w:left w:val="nil"/>
                    <w:bottom w:val="single" w:color="auto" w:sz="4" w:space="0"/>
                    <w:right w:val="nil"/>
                  </w:tcBorders>
                  <w:shd w:val="clear" w:color="auto" w:fill="auto"/>
                </w:tcPr>
                <w:p w14:paraId="2AB95E03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重复定位精度</w:t>
                  </w:r>
                </w:p>
              </w:tc>
              <w:tc>
                <w:tcPr>
                  <w:tcW w:w="1165" w:type="pct"/>
                  <w:tcBorders>
                    <w:top w:val="single" w:color="auto" w:sz="8" w:space="0"/>
                    <w:left w:val="nil"/>
                    <w:bottom w:val="single" w:color="auto" w:sz="4" w:space="0"/>
                  </w:tcBorders>
                  <w:shd w:val="clear" w:color="auto" w:fill="auto"/>
                </w:tcPr>
                <w:p w14:paraId="24586D16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移动类型</w:t>
                  </w:r>
                </w:p>
              </w:tc>
            </w:tr>
            <w:tr w14:paraId="60CF9B80"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  <w:jc w:val="center"/>
              </w:trPr>
              <w:tc>
                <w:tcPr>
                  <w:tcW w:w="1000" w:type="pct"/>
                  <w:tcBorders>
                    <w:top w:val="nil"/>
                    <w:bottom w:val="nil"/>
                    <w:right w:val="nil"/>
                  </w:tcBorders>
                </w:tcPr>
                <w:p w14:paraId="783E3C44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样品台X轴</w:t>
                  </w:r>
                </w:p>
              </w:tc>
              <w:tc>
                <w:tcPr>
                  <w:tcW w:w="670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9AFA83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≥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100 mm</w:t>
                  </w:r>
                </w:p>
              </w:tc>
              <w:tc>
                <w:tcPr>
                  <w:tcW w:w="1000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89262C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 xml:space="preserve">5 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μm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8A0A66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 xml:space="preserve">1 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μm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nil"/>
                  </w:tcBorders>
                </w:tcPr>
                <w:p w14:paraId="64BDCF89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直线运动</w:t>
                  </w:r>
                </w:p>
              </w:tc>
            </w:tr>
            <w:tr w14:paraId="095859B2"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  <w:jc w:val="center"/>
              </w:trPr>
              <w:tc>
                <w:tcPr>
                  <w:tcW w:w="1000" w:type="pct"/>
                  <w:tcBorders>
                    <w:top w:val="nil"/>
                    <w:bottom w:val="nil"/>
                    <w:right w:val="nil"/>
                  </w:tcBorders>
                </w:tcPr>
                <w:p w14:paraId="178D6A73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样品台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Y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轴</w:t>
                  </w:r>
                </w:p>
              </w:tc>
              <w:tc>
                <w:tcPr>
                  <w:tcW w:w="670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39754D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≥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100 mm</w:t>
                  </w:r>
                </w:p>
              </w:tc>
              <w:tc>
                <w:tcPr>
                  <w:tcW w:w="1000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55D54D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5 μm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E4CC02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 xml:space="preserve">1 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μm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nil"/>
                  </w:tcBorders>
                </w:tcPr>
                <w:p w14:paraId="117324D2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直线运动</w:t>
                  </w:r>
                </w:p>
              </w:tc>
            </w:tr>
            <w:tr w14:paraId="742037D3"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  <w:jc w:val="center"/>
              </w:trPr>
              <w:tc>
                <w:tcPr>
                  <w:tcW w:w="1000" w:type="pct"/>
                  <w:tcBorders>
                    <w:top w:val="nil"/>
                    <w:bottom w:val="nil"/>
                    <w:right w:val="nil"/>
                  </w:tcBorders>
                </w:tcPr>
                <w:p w14:paraId="1D75A721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样品台Z轴</w:t>
                  </w:r>
                </w:p>
              </w:tc>
              <w:tc>
                <w:tcPr>
                  <w:tcW w:w="670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996FEF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≥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50 mm</w:t>
                  </w:r>
                </w:p>
              </w:tc>
              <w:tc>
                <w:tcPr>
                  <w:tcW w:w="1000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680096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1 μm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EB4F62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 xml:space="preserve">1 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μm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nil"/>
                  </w:tcBorders>
                </w:tcPr>
                <w:p w14:paraId="48515B16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上下运动</w:t>
                  </w:r>
                </w:p>
              </w:tc>
            </w:tr>
            <w:tr w14:paraId="250DF5F7"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  <w:jc w:val="center"/>
              </w:trPr>
              <w:tc>
                <w:tcPr>
                  <w:tcW w:w="1000" w:type="pct"/>
                  <w:tcBorders>
                    <w:top w:val="nil"/>
                    <w:bottom w:val="single" w:color="auto" w:sz="4" w:space="0"/>
                    <w:right w:val="nil"/>
                  </w:tcBorders>
                </w:tcPr>
                <w:p w14:paraId="130A9BE1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样品台R轴</w:t>
                  </w:r>
                </w:p>
              </w:tc>
              <w:tc>
                <w:tcPr>
                  <w:tcW w:w="670" w:type="pct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</w:tcPr>
                <w:p w14:paraId="190AD4E4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≥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350°</w:t>
                  </w:r>
                </w:p>
              </w:tc>
              <w:tc>
                <w:tcPr>
                  <w:tcW w:w="1000" w:type="pct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</w:tcPr>
                <w:p w14:paraId="4F95F39D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0.005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°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</w:tcPr>
                <w:p w14:paraId="46AF9E22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0.005°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single" w:color="auto" w:sz="4" w:space="0"/>
                  </w:tcBorders>
                </w:tcPr>
                <w:p w14:paraId="5A525EDC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旋转</w:t>
                  </w:r>
                </w:p>
              </w:tc>
            </w:tr>
            <w:tr w14:paraId="35DBA696"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  <w:jc w:val="center"/>
              </w:trPr>
              <w:tc>
                <w:tcPr>
                  <w:tcW w:w="1000" w:type="pct"/>
                  <w:tcBorders>
                    <w:top w:val="nil"/>
                    <w:bottom w:val="nil"/>
                    <w:right w:val="nil"/>
                  </w:tcBorders>
                </w:tcPr>
                <w:p w14:paraId="23A1C89E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晶体X轴</w:t>
                  </w:r>
                </w:p>
              </w:tc>
              <w:tc>
                <w:tcPr>
                  <w:tcW w:w="670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9A1E9B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≥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100 mm</w:t>
                  </w:r>
                </w:p>
              </w:tc>
              <w:tc>
                <w:tcPr>
                  <w:tcW w:w="1000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94E58C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 xml:space="preserve">5 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μm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36D90C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 xml:space="preserve">1 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μm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nil"/>
                  </w:tcBorders>
                </w:tcPr>
                <w:p w14:paraId="0D3142C8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直线运动</w:t>
                  </w:r>
                </w:p>
              </w:tc>
            </w:tr>
            <w:tr w14:paraId="24C7EF89"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  <w:jc w:val="center"/>
              </w:trPr>
              <w:tc>
                <w:tcPr>
                  <w:tcW w:w="1000" w:type="pct"/>
                  <w:tcBorders>
                    <w:top w:val="nil"/>
                    <w:bottom w:val="nil"/>
                    <w:right w:val="nil"/>
                  </w:tcBorders>
                </w:tcPr>
                <w:p w14:paraId="46928E3E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晶体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Z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轴</w:t>
                  </w:r>
                </w:p>
              </w:tc>
              <w:tc>
                <w:tcPr>
                  <w:tcW w:w="670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67AF32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≥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200 mm</w:t>
                  </w:r>
                </w:p>
              </w:tc>
              <w:tc>
                <w:tcPr>
                  <w:tcW w:w="1000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B906BA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30 μm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43E743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 xml:space="preserve">20 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μm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nil"/>
                  </w:tcBorders>
                </w:tcPr>
                <w:p w14:paraId="680BB913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侧挂上下运动</w:t>
                  </w:r>
                </w:p>
              </w:tc>
            </w:tr>
            <w:tr w14:paraId="7DC9F9CE"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  <w:jc w:val="center"/>
              </w:trPr>
              <w:tc>
                <w:tcPr>
                  <w:tcW w:w="1000" w:type="pct"/>
                  <w:tcBorders>
                    <w:top w:val="nil"/>
                    <w:bottom w:val="nil"/>
                    <w:right w:val="nil"/>
                  </w:tcBorders>
                </w:tcPr>
                <w:p w14:paraId="253D283F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  <w:vertAlign w:val="subscript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晶体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R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轴</w:t>
                  </w:r>
                </w:p>
              </w:tc>
              <w:tc>
                <w:tcPr>
                  <w:tcW w:w="670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3DCBAF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≥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350°</w:t>
                  </w:r>
                </w:p>
              </w:tc>
              <w:tc>
                <w:tcPr>
                  <w:tcW w:w="1000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BBC765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0.005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°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DD7130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0.005°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nil"/>
                  </w:tcBorders>
                </w:tcPr>
                <w:p w14:paraId="634C363F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旋转</w:t>
                  </w:r>
                </w:p>
              </w:tc>
            </w:tr>
            <w:tr w14:paraId="4E00CB5E"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  <w:jc w:val="center"/>
              </w:trPr>
              <w:tc>
                <w:tcPr>
                  <w:tcW w:w="1000" w:type="pct"/>
                  <w:tcBorders>
                    <w:top w:val="nil"/>
                    <w:bottom w:val="single" w:color="auto" w:sz="4" w:space="0"/>
                    <w:right w:val="nil"/>
                  </w:tcBorders>
                </w:tcPr>
                <w:p w14:paraId="48815BC1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晶体侧摆轴</w:t>
                  </w:r>
                </w:p>
              </w:tc>
              <w:tc>
                <w:tcPr>
                  <w:tcW w:w="670" w:type="pct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</w:tcPr>
                <w:p w14:paraId="25A9E823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≥3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0°</w:t>
                  </w:r>
                </w:p>
              </w:tc>
              <w:tc>
                <w:tcPr>
                  <w:tcW w:w="1000" w:type="pct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</w:tcPr>
                <w:p w14:paraId="023B4536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0.005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°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</w:tcPr>
                <w:p w14:paraId="36DAC876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0.005°</w:t>
                  </w:r>
                </w:p>
              </w:tc>
              <w:tc>
                <w:tcPr>
                  <w:tcW w:w="1165" w:type="pct"/>
                  <w:tcBorders>
                    <w:top w:val="nil"/>
                    <w:left w:val="nil"/>
                    <w:bottom w:val="single" w:color="auto" w:sz="4" w:space="0"/>
                  </w:tcBorders>
                </w:tcPr>
                <w:p w14:paraId="02493848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俯仰</w:t>
                  </w:r>
                </w:p>
              </w:tc>
            </w:tr>
            <w:tr w14:paraId="216FD60F"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  <w:jc w:val="center"/>
              </w:trPr>
              <w:tc>
                <w:tcPr>
                  <w:tcW w:w="1000" w:type="pct"/>
                  <w:tcBorders>
                    <w:top w:val="single" w:color="auto" w:sz="4" w:space="0"/>
                    <w:bottom w:val="single" w:color="auto" w:sz="8" w:space="0"/>
                    <w:right w:val="nil"/>
                  </w:tcBorders>
                </w:tcPr>
                <w:p w14:paraId="0F86AB3F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探测器Z轴</w:t>
                  </w:r>
                </w:p>
              </w:tc>
              <w:tc>
                <w:tcPr>
                  <w:tcW w:w="670" w:type="pct"/>
                  <w:tcBorders>
                    <w:top w:val="single" w:color="auto" w:sz="4" w:space="0"/>
                    <w:left w:val="nil"/>
                    <w:bottom w:val="single" w:color="auto" w:sz="8" w:space="0"/>
                    <w:right w:val="nil"/>
                  </w:tcBorders>
                </w:tcPr>
                <w:p w14:paraId="3C644F0D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≥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400 mm</w:t>
                  </w:r>
                </w:p>
              </w:tc>
              <w:tc>
                <w:tcPr>
                  <w:tcW w:w="1000" w:type="pct"/>
                  <w:tcBorders>
                    <w:top w:val="single" w:color="auto" w:sz="4" w:space="0"/>
                    <w:left w:val="nil"/>
                    <w:bottom w:val="single" w:color="auto" w:sz="8" w:space="0"/>
                    <w:right w:val="nil"/>
                  </w:tcBorders>
                </w:tcPr>
                <w:p w14:paraId="6F398448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>30 μm</w:t>
                  </w:r>
                </w:p>
              </w:tc>
              <w:tc>
                <w:tcPr>
                  <w:tcW w:w="1165" w:type="pct"/>
                  <w:tcBorders>
                    <w:top w:val="single" w:color="auto" w:sz="4" w:space="0"/>
                    <w:left w:val="nil"/>
                    <w:bottom w:val="single" w:color="auto" w:sz="8" w:space="0"/>
                    <w:right w:val="nil"/>
                  </w:tcBorders>
                </w:tcPr>
                <w:p w14:paraId="0C94A0D7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≤</w:t>
                  </w:r>
                  <w:r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  <w:t xml:space="preserve">20 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μm</w:t>
                  </w:r>
                </w:p>
              </w:tc>
              <w:tc>
                <w:tcPr>
                  <w:tcW w:w="1165" w:type="pct"/>
                  <w:tcBorders>
                    <w:top w:val="single" w:color="auto" w:sz="4" w:space="0"/>
                    <w:left w:val="nil"/>
                    <w:bottom w:val="single" w:color="auto" w:sz="8" w:space="0"/>
                  </w:tcBorders>
                </w:tcPr>
                <w:p w14:paraId="3CEB1420">
                  <w:pPr>
                    <w:jc w:val="center"/>
                    <w:rPr>
                      <w:rFonts w:asciiTheme="majorEastAsia" w:hAnsiTheme="majorEastAsia" w:eastAsiaTheme="majorEastAsia"/>
                      <w:b/>
                      <w:bCs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bCs/>
                      <w:szCs w:val="21"/>
                    </w:rPr>
                    <w:t>侧挂上下运动</w:t>
                  </w:r>
                </w:p>
              </w:tc>
            </w:tr>
          </w:tbl>
          <w:p w14:paraId="5A73CD65">
            <w:pPr>
              <w:tabs>
                <w:tab w:val="left" w:pos="6915"/>
              </w:tabs>
              <w:jc w:val="center"/>
              <w:rPr>
                <w:rFonts w:ascii="宋体" w:hAnsi="宋体"/>
                <w:b/>
              </w:rPr>
            </w:pPr>
          </w:p>
          <w:tbl>
            <w:tblPr>
              <w:tblStyle w:val="5"/>
              <w:tblW w:w="5560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607"/>
              <w:gridCol w:w="2953"/>
            </w:tblGrid>
            <w:tr w14:paraId="16A19E6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5" w:hRule="atLeast"/>
                <w:jc w:val="center"/>
              </w:trPr>
              <w:tc>
                <w:tcPr>
                  <w:tcW w:w="556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9B94A1">
                  <w:pPr>
                    <w:tabs>
                      <w:tab w:val="left" w:pos="6915"/>
                    </w:tabs>
                    <w:jc w:val="center"/>
                    <w:rPr>
                      <w:b/>
                      <w:szCs w:val="21"/>
                    </w:rPr>
                  </w:pPr>
                  <w:bookmarkStart w:id="0" w:name="_GoBack"/>
                  <w:r>
                    <w:rPr>
                      <w:rFonts w:hint="eastAsia"/>
                      <w:b/>
                      <w:szCs w:val="21"/>
                    </w:rPr>
                    <w:t>其他</w:t>
                  </w:r>
                  <w:r>
                    <w:rPr>
                      <w:b/>
                      <w:szCs w:val="21"/>
                    </w:rPr>
                    <w:t>技术参数</w:t>
                  </w:r>
                </w:p>
              </w:tc>
            </w:tr>
            <w:tr w14:paraId="76461CD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5" w:hRule="atLeast"/>
                <w:jc w:val="center"/>
              </w:trPr>
              <w:tc>
                <w:tcPr>
                  <w:tcW w:w="260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146E548">
                  <w:pPr>
                    <w:tabs>
                      <w:tab w:val="left" w:pos="6915"/>
                    </w:tabs>
                    <w:jc w:val="center"/>
                    <w:rPr>
                      <w:rFonts w:asciiTheme="majorEastAsia" w:hAnsiTheme="majorEastAsia" w:eastAsiaTheme="majorEastAsia"/>
                      <w:b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适配工作环境真空度</w:t>
                  </w:r>
                </w:p>
              </w:tc>
              <w:tc>
                <w:tcPr>
                  <w:tcW w:w="295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 w14:paraId="27D6CB68">
                  <w:pPr>
                    <w:tabs>
                      <w:tab w:val="left" w:pos="6915"/>
                    </w:tabs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 xml:space="preserve">  </w:t>
                  </w:r>
                  <w:r>
                    <w:rPr>
                      <w:rFonts w:asciiTheme="majorEastAsia" w:hAnsiTheme="majorEastAsia" w:eastAsiaTheme="majorEastAsia"/>
                      <w:b/>
                    </w:rPr>
                    <w:t>1</w:t>
                  </w: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×</w:t>
                  </w:r>
                  <w:r>
                    <w:rPr>
                      <w:rFonts w:asciiTheme="majorEastAsia" w:hAnsiTheme="majorEastAsia" w:eastAsiaTheme="majorEastAsia"/>
                      <w:b/>
                    </w:rPr>
                    <w:t>10</w:t>
                  </w:r>
                  <w:r>
                    <w:rPr>
                      <w:rFonts w:asciiTheme="majorEastAsia" w:hAnsiTheme="majorEastAsia" w:eastAsiaTheme="majorEastAsia"/>
                      <w:b/>
                      <w:vertAlign w:val="superscript"/>
                    </w:rPr>
                    <w:t>-6</w:t>
                  </w:r>
                  <w:r>
                    <w:rPr>
                      <w:rFonts w:ascii="Cambria Math" w:hAnsi="Cambria Math" w:cs="Cambria Math" w:eastAsiaTheme="majorEastAsia"/>
                      <w:b/>
                    </w:rPr>
                    <w:t>∼</w:t>
                  </w:r>
                  <w:r>
                    <w:rPr>
                      <w:rFonts w:asciiTheme="majorEastAsia" w:hAnsiTheme="majorEastAsia" w:eastAsiaTheme="majorEastAsia"/>
                      <w:b/>
                    </w:rPr>
                    <w:t>1</w:t>
                  </w: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×</w:t>
                  </w:r>
                  <w:r>
                    <w:rPr>
                      <w:rFonts w:asciiTheme="majorEastAsia" w:hAnsiTheme="majorEastAsia" w:eastAsiaTheme="majorEastAsia"/>
                      <w:b/>
                    </w:rPr>
                    <w:t>10</w:t>
                  </w:r>
                  <w:r>
                    <w:rPr>
                      <w:rFonts w:asciiTheme="majorEastAsia" w:hAnsiTheme="majorEastAsia" w:eastAsiaTheme="majorEastAsia"/>
                      <w:b/>
                      <w:vertAlign w:val="superscript"/>
                    </w:rPr>
                    <w:t>3</w:t>
                  </w:r>
                  <w:r>
                    <w:rPr>
                      <w:rFonts w:asciiTheme="majorEastAsia" w:hAnsiTheme="majorEastAsia" w:eastAsiaTheme="majorEastAsia"/>
                      <w:b/>
                    </w:rPr>
                    <w:t xml:space="preserve"> </w:t>
                  </w: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mBar</w:t>
                  </w:r>
                </w:p>
              </w:tc>
            </w:tr>
            <w:tr w14:paraId="4D61FC9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5" w:hRule="atLeast"/>
                <w:jc w:val="center"/>
              </w:trPr>
              <w:tc>
                <w:tcPr>
                  <w:tcW w:w="260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ACE1A15">
                  <w:pPr>
                    <w:tabs>
                      <w:tab w:val="left" w:pos="6915"/>
                    </w:tabs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运动位移台主体材料</w:t>
                  </w:r>
                </w:p>
              </w:tc>
              <w:tc>
                <w:tcPr>
                  <w:tcW w:w="295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bottom"/>
                </w:tcPr>
                <w:p w14:paraId="4FCB82B3">
                  <w:pPr>
                    <w:tabs>
                      <w:tab w:val="left" w:pos="6915"/>
                    </w:tabs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铝合金6061</w:t>
                  </w:r>
                </w:p>
              </w:tc>
            </w:tr>
            <w:tr w14:paraId="42E108B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5" w:hRule="atLeast"/>
                <w:jc w:val="center"/>
              </w:trPr>
              <w:tc>
                <w:tcPr>
                  <w:tcW w:w="260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3243ED1">
                  <w:pPr>
                    <w:tabs>
                      <w:tab w:val="left" w:pos="6915"/>
                    </w:tabs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位移台运动稳定性</w:t>
                  </w:r>
                </w:p>
              </w:tc>
              <w:tc>
                <w:tcPr>
                  <w:tcW w:w="295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bottom"/>
                </w:tcPr>
                <w:p w14:paraId="608AAB78">
                  <w:pPr>
                    <w:tabs>
                      <w:tab w:val="left" w:pos="6915"/>
                    </w:tabs>
                    <w:jc w:val="center"/>
                    <w:rPr>
                      <w:rFonts w:asciiTheme="majorEastAsia" w:hAnsiTheme="majorEastAsia" w:eastAsiaTheme="majorEastAsia"/>
                      <w:b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±</w:t>
                  </w:r>
                  <w:r>
                    <w:rPr>
                      <w:rFonts w:asciiTheme="majorEastAsia" w:hAnsiTheme="majorEastAsia" w:eastAsiaTheme="majorEastAsia"/>
                      <w:b/>
                    </w:rPr>
                    <w:t>40</w:t>
                  </w:r>
                  <w:r>
                    <w:rPr>
                      <w:rFonts w:hint="eastAsia" w:asciiTheme="majorEastAsia" w:hAnsiTheme="majorEastAsia" w:eastAsiaTheme="majorEastAsia"/>
                      <w:b/>
                    </w:rPr>
                    <w:t>μ</w:t>
                  </w:r>
                  <w:r>
                    <w:rPr>
                      <w:rFonts w:asciiTheme="majorEastAsia" w:hAnsiTheme="majorEastAsia" w:eastAsiaTheme="majorEastAsia"/>
                      <w:b/>
                    </w:rPr>
                    <w:t>rad</w:t>
                  </w:r>
                </w:p>
              </w:tc>
            </w:tr>
            <w:bookmarkEnd w:id="0"/>
          </w:tbl>
          <w:p w14:paraId="19DFA98B">
            <w:pPr>
              <w:tabs>
                <w:tab w:val="left" w:pos="6915"/>
              </w:tabs>
              <w:spacing w:line="276" w:lineRule="auto"/>
              <w:ind w:firstLine="480" w:firstLineChars="200"/>
              <w:rPr>
                <w:bCs/>
                <w:sz w:val="24"/>
              </w:rPr>
            </w:pPr>
          </w:p>
          <w:p w14:paraId="6FEABAF9">
            <w:pPr>
              <w:tabs>
                <w:tab w:val="left" w:pos="6915"/>
              </w:tabs>
              <w:spacing w:line="276" w:lineRule="auto"/>
              <w:rPr>
                <w:bCs/>
                <w:sz w:val="24"/>
              </w:rPr>
            </w:pP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4D136D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签订合同后8个月</w:t>
            </w:r>
          </w:p>
          <w:p w14:paraId="282B7968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（1）合同签订后，支付合同总价的</w:t>
            </w: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hint="eastAsia" w:ascii="宋体" w:hAnsi="宋体"/>
                <w:bCs/>
                <w:szCs w:val="21"/>
              </w:rPr>
              <w:t>0%；（2）货物出厂测试合格并发货后，支付合同总价的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hint="eastAsia" w:ascii="宋体" w:hAnsi="宋体"/>
                <w:bCs/>
                <w:szCs w:val="21"/>
              </w:rPr>
              <w:t>0%；（3）货到买方指定地点并且经买方验收合格后，支付合同总价的10%。</w:t>
            </w:r>
          </w:p>
          <w:p w14:paraId="1FA7EB93">
            <w:pPr>
              <w:tabs>
                <w:tab w:val="left" w:pos="6915"/>
              </w:tabs>
              <w:spacing w:line="276" w:lineRule="auto"/>
              <w:jc w:val="left"/>
              <w:rPr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/>
                <w:szCs w:val="21"/>
              </w:rPr>
              <w:t>提供出厂报告。到货后验收每个位移台的行程、整步分辨率、重复定位精度。</w:t>
            </w:r>
          </w:p>
          <w:p w14:paraId="2E50FB67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t>提供至少1年的免费保修，包含人工、维修及零件等费用。在保修期内，供货商需要及时提供维修服务，包括产品的正常检修、维护等。保修期自验收签字之日算起，</w:t>
            </w:r>
            <w:r>
              <w:rPr>
                <w:kern w:val="0"/>
              </w:rPr>
              <w:t>保修期内因质量问题而导致设备停用的时间从保修期中扣除</w:t>
            </w:r>
            <w:r>
              <w:t>。</w:t>
            </w:r>
          </w:p>
          <w:p w14:paraId="18266540">
            <w:pPr>
              <w:tabs>
                <w:tab w:val="left" w:pos="6915"/>
              </w:tabs>
              <w:spacing w:line="276" w:lineRule="auto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72A27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668BC"/>
    <w:rsid w:val="00584F75"/>
    <w:rsid w:val="005C4758"/>
    <w:rsid w:val="005E2C0C"/>
    <w:rsid w:val="005F7E7B"/>
    <w:rsid w:val="00630F8F"/>
    <w:rsid w:val="00642AF5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CE0BDA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C12EB"/>
    <w:rsid w:val="0E16602D"/>
    <w:rsid w:val="128E50EE"/>
    <w:rsid w:val="2D070EC5"/>
    <w:rsid w:val="362A40E2"/>
    <w:rsid w:val="468B21C7"/>
    <w:rsid w:val="46BF17AE"/>
    <w:rsid w:val="48EB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439</Words>
  <Characters>525</Characters>
  <Lines>6</Lines>
  <Paragraphs>1</Paragraphs>
  <TotalTime>0</TotalTime>
  <ScaleCrop>false</ScaleCrop>
  <LinksUpToDate>false</LinksUpToDate>
  <CharactersWithSpaces>563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2025-12-29T07:29:05Z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