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C492426">
            <w:pPr>
              <w:tabs>
                <w:tab w:val="left" w:pos="6915"/>
              </w:tabs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XES衍射弯晶</w:t>
            </w:r>
          </w:p>
          <w:p w14:paraId="68157E3A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D4FF3EA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采购XES衍射弯晶共</w:t>
            </w:r>
            <w:r>
              <w:rPr>
                <w:rFonts w:ascii="宋体" w:hAnsi="宋体" w:cs="宋体"/>
                <w:bCs/>
                <w:szCs w:val="21"/>
              </w:rPr>
              <w:t>48</w:t>
            </w:r>
            <w:r>
              <w:rPr>
                <w:rFonts w:hint="eastAsia" w:ascii="宋体" w:hAnsi="宋体" w:cs="宋体"/>
                <w:bCs/>
                <w:szCs w:val="21"/>
              </w:rPr>
              <w:t>块，其中球面弯晶Si(</w:t>
            </w:r>
            <w:r>
              <w:rPr>
                <w:rFonts w:ascii="宋体" w:hAnsi="宋体" w:cs="宋体"/>
                <w:bCs/>
                <w:szCs w:val="21"/>
              </w:rPr>
              <w:t>444</w:t>
            </w:r>
            <w:r>
              <w:rPr>
                <w:rFonts w:hint="eastAsia" w:ascii="宋体" w:hAnsi="宋体" w:cs="宋体"/>
                <w:bCs/>
                <w:szCs w:val="21"/>
              </w:rPr>
              <w:t>)、Si(</w:t>
            </w:r>
            <w:r>
              <w:rPr>
                <w:rFonts w:ascii="宋体" w:hAnsi="宋体" w:cs="宋体"/>
                <w:bCs/>
                <w:szCs w:val="21"/>
              </w:rPr>
              <w:t>44</w:t>
            </w:r>
            <w:r>
              <w:rPr>
                <w:rFonts w:hint="eastAsia" w:ascii="宋体" w:hAnsi="宋体" w:cs="宋体"/>
                <w:bCs/>
                <w:szCs w:val="21"/>
              </w:rPr>
              <w:t>0)、Si(</w:t>
            </w:r>
            <w:r>
              <w:rPr>
                <w:rFonts w:ascii="宋体" w:hAnsi="宋体" w:cs="宋体"/>
                <w:bCs/>
                <w:szCs w:val="21"/>
              </w:rPr>
              <w:t>4</w:t>
            </w:r>
            <w:r>
              <w:rPr>
                <w:rFonts w:hint="eastAsia" w:ascii="宋体" w:hAnsi="宋体" w:cs="宋体"/>
                <w:bCs/>
                <w:szCs w:val="21"/>
              </w:rPr>
              <w:t>00)、Si(531)、Si(</w:t>
            </w:r>
            <w:r>
              <w:rPr>
                <w:rFonts w:ascii="宋体" w:hAnsi="宋体" w:cs="宋体"/>
                <w:bCs/>
                <w:szCs w:val="21"/>
              </w:rPr>
              <w:t>62</w:t>
            </w:r>
            <w:r>
              <w:rPr>
                <w:rFonts w:hint="eastAsia" w:ascii="宋体" w:hAnsi="宋体" w:cs="宋体"/>
                <w:bCs/>
                <w:szCs w:val="21"/>
              </w:rPr>
              <w:t>0) 各</w:t>
            </w:r>
            <w:r>
              <w:rPr>
                <w:rFonts w:ascii="宋体" w:hAnsi="宋体" w:cs="宋体"/>
                <w:bCs/>
                <w:szCs w:val="21"/>
              </w:rPr>
              <w:t>5</w:t>
            </w:r>
            <w:r>
              <w:rPr>
                <w:rFonts w:hint="eastAsia" w:ascii="宋体" w:hAnsi="宋体" w:cs="宋体"/>
                <w:bCs/>
                <w:szCs w:val="21"/>
              </w:rPr>
              <w:t>块，球面弯晶Ge(</w:t>
            </w:r>
            <w:r>
              <w:rPr>
                <w:rFonts w:ascii="宋体" w:hAnsi="宋体" w:cs="宋体"/>
                <w:bCs/>
                <w:szCs w:val="21"/>
              </w:rPr>
              <w:t>44</w:t>
            </w:r>
            <w:r>
              <w:rPr>
                <w:rFonts w:hint="eastAsia" w:ascii="宋体" w:hAnsi="宋体" w:cs="宋体"/>
                <w:bCs/>
                <w:szCs w:val="21"/>
              </w:rPr>
              <w:t>0)、Ge(</w:t>
            </w:r>
            <w:r>
              <w:rPr>
                <w:rFonts w:ascii="宋体" w:hAnsi="宋体" w:cs="宋体"/>
                <w:bCs/>
                <w:szCs w:val="21"/>
              </w:rPr>
              <w:t>4</w:t>
            </w:r>
            <w:r>
              <w:rPr>
                <w:rFonts w:hint="eastAsia" w:ascii="宋体" w:hAnsi="宋体" w:cs="宋体"/>
                <w:bCs/>
                <w:szCs w:val="21"/>
              </w:rPr>
              <w:t>00)、Ge(</w:t>
            </w:r>
            <w:r>
              <w:rPr>
                <w:rFonts w:ascii="宋体" w:hAnsi="宋体" w:cs="宋体"/>
                <w:bCs/>
                <w:szCs w:val="21"/>
              </w:rPr>
              <w:t>62</w:t>
            </w:r>
            <w:r>
              <w:rPr>
                <w:rFonts w:hint="eastAsia" w:ascii="宋体" w:hAnsi="宋体" w:cs="宋体"/>
                <w:bCs/>
                <w:szCs w:val="21"/>
              </w:rPr>
              <w:t>0)、Ge(</w:t>
            </w:r>
            <w:r>
              <w:rPr>
                <w:rFonts w:ascii="宋体" w:hAnsi="宋体" w:cs="宋体"/>
                <w:bCs/>
                <w:szCs w:val="21"/>
              </w:rPr>
              <w:t>444</w:t>
            </w:r>
            <w:r>
              <w:rPr>
                <w:rFonts w:hint="eastAsia" w:ascii="宋体" w:hAnsi="宋体" w:cs="宋体"/>
                <w:bCs/>
                <w:szCs w:val="21"/>
              </w:rPr>
              <w:t>) 各</w:t>
            </w:r>
            <w:r>
              <w:rPr>
                <w:rFonts w:ascii="宋体" w:hAnsi="宋体" w:cs="宋体"/>
                <w:bCs/>
                <w:szCs w:val="21"/>
              </w:rPr>
              <w:t>5</w:t>
            </w:r>
            <w:r>
              <w:rPr>
                <w:rFonts w:hint="eastAsia" w:ascii="宋体" w:hAnsi="宋体" w:cs="宋体"/>
                <w:bCs/>
                <w:szCs w:val="21"/>
              </w:rPr>
              <w:t>块，柱面弯晶Si(</w:t>
            </w:r>
            <w:r>
              <w:rPr>
                <w:rFonts w:ascii="宋体" w:hAnsi="宋体" w:cs="宋体"/>
                <w:bCs/>
                <w:szCs w:val="21"/>
              </w:rPr>
              <w:t>444</w:t>
            </w:r>
            <w:r>
              <w:rPr>
                <w:rFonts w:hint="eastAsia" w:ascii="宋体" w:hAnsi="宋体" w:cs="宋体"/>
                <w:bCs/>
                <w:szCs w:val="21"/>
              </w:rPr>
              <w:t>) 3块，便携式分析晶体面型检测仪1台。具体技术参数要求如下：</w:t>
            </w:r>
          </w:p>
          <w:p w14:paraId="4FF22473">
            <w:pPr>
              <w:tabs>
                <w:tab w:val="left" w:pos="6915"/>
              </w:tabs>
              <w:spacing w:line="240" w:lineRule="auto"/>
              <w:jc w:val="center"/>
              <w:rPr>
                <w:rFonts w:asciiTheme="majorEastAsia" w:hAnsiTheme="majorEastAsia" w:eastAsiaTheme="majorEastAsia"/>
                <w:b/>
              </w:rPr>
            </w:pPr>
            <w:r>
              <w:rPr>
                <w:rFonts w:hint="eastAsia" w:asciiTheme="majorEastAsia" w:hAnsiTheme="majorEastAsia" w:eastAsiaTheme="majorEastAsia"/>
                <w:b/>
              </w:rPr>
              <w:t>表1</w:t>
            </w:r>
            <w:r>
              <w:rPr>
                <w:rFonts w:asciiTheme="majorEastAsia" w:hAnsiTheme="majorEastAsia" w:eastAsiaTheme="majorEastAsia"/>
                <w:b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b/>
              </w:rPr>
              <w:t>球面弯晶技术参数要求</w:t>
            </w:r>
          </w:p>
          <w:tbl>
            <w:tblPr>
              <w:tblStyle w:val="5"/>
              <w:tblW w:w="498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75"/>
              <w:gridCol w:w="3005"/>
            </w:tblGrid>
            <w:tr w14:paraId="00B5701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4980" w:type="dxa"/>
                  <w:gridSpan w:val="2"/>
                  <w:vAlign w:val="center"/>
                </w:tcPr>
                <w:p w14:paraId="3AD461B7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b/>
                      <w:szCs w:val="21"/>
                    </w:rPr>
                  </w:pPr>
                  <w:r>
                    <w:rPr>
                      <w:b/>
                      <w:szCs w:val="21"/>
                    </w:rPr>
                    <w:t>技术参数</w:t>
                  </w:r>
                </w:p>
              </w:tc>
            </w:tr>
            <w:tr w14:paraId="3B778CC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76E13DA6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面型</w:t>
                  </w:r>
                </w:p>
              </w:tc>
              <w:tc>
                <w:tcPr>
                  <w:tcW w:w="3005" w:type="dxa"/>
                  <w:noWrap/>
                  <w:vAlign w:val="bottom"/>
                </w:tcPr>
                <w:p w14:paraId="3A070C81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球面弯晶</w:t>
                  </w:r>
                </w:p>
              </w:tc>
            </w:tr>
            <w:tr w14:paraId="47C3BA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66D5414E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弯晶尺寸（直径）</w:t>
                  </w:r>
                </w:p>
              </w:tc>
              <w:tc>
                <w:tcPr>
                  <w:tcW w:w="3005" w:type="dxa"/>
                  <w:noWrap/>
                  <w:vAlign w:val="bottom"/>
                </w:tcPr>
                <w:p w14:paraId="1E373A49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asciiTheme="majorEastAsia" w:hAnsiTheme="majorEastAsia" w:eastAsiaTheme="majorEastAsia"/>
                      <w:b/>
                    </w:rPr>
                    <w:t>100 mm±0.5 mm</w:t>
                  </w:r>
                </w:p>
              </w:tc>
            </w:tr>
            <w:tr w14:paraId="32A3627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59DA1906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曲率半径</w:t>
                  </w:r>
                </w:p>
              </w:tc>
              <w:tc>
                <w:tcPr>
                  <w:tcW w:w="3005" w:type="dxa"/>
                  <w:noWrap/>
                  <w:vAlign w:val="bottom"/>
                </w:tcPr>
                <w:p w14:paraId="1EFEDE50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asciiTheme="majorEastAsia" w:hAnsiTheme="majorEastAsia" w:eastAsiaTheme="majorEastAsia"/>
                      <w:b/>
                    </w:rPr>
                    <w:t>500 mm±1%</w:t>
                  </w:r>
                </w:p>
              </w:tc>
            </w:tr>
            <w:tr w14:paraId="21F25E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53A53F1B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晶片厚度</w:t>
                  </w:r>
                </w:p>
              </w:tc>
              <w:tc>
                <w:tcPr>
                  <w:tcW w:w="3005" w:type="dxa"/>
                  <w:noWrap/>
                  <w:vAlign w:val="bottom"/>
                </w:tcPr>
                <w:p w14:paraId="0572D8C3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asciiTheme="majorEastAsia" w:hAnsiTheme="majorEastAsia" w:eastAsiaTheme="majorEastAsia"/>
                      <w:b/>
                      <w:szCs w:val="21"/>
                    </w:rPr>
                    <w:t xml:space="preserve">300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μ</w:t>
                  </w:r>
                  <w:r>
                    <w:rPr>
                      <w:rFonts w:asciiTheme="majorEastAsia" w:hAnsiTheme="majorEastAsia" w:eastAsiaTheme="majorEastAsia"/>
                      <w:b/>
                      <w:szCs w:val="21"/>
                    </w:rPr>
                    <w:t>m±10 μm</w:t>
                  </w:r>
                </w:p>
              </w:tc>
            </w:tr>
            <w:tr w14:paraId="720AFE7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0593A1FB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晶向误差</w:t>
                  </w:r>
                </w:p>
              </w:tc>
              <w:tc>
                <w:tcPr>
                  <w:tcW w:w="3005" w:type="dxa"/>
                  <w:noWrap/>
                  <w:vAlign w:val="bottom"/>
                </w:tcPr>
                <w:p w14:paraId="0BB9CD70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≤0.3 degree</w:t>
                  </w:r>
                </w:p>
              </w:tc>
            </w:tr>
            <w:tr w14:paraId="4273B10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23A01E69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玻璃底座平面度</w:t>
                  </w:r>
                </w:p>
              </w:tc>
              <w:tc>
                <w:tcPr>
                  <w:tcW w:w="3005" w:type="dxa"/>
                  <w:noWrap/>
                  <w:vAlign w:val="bottom"/>
                </w:tcPr>
                <w:p w14:paraId="50BB7491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≤1/4 lambda</w:t>
                  </w:r>
                </w:p>
              </w:tc>
            </w:tr>
            <w:tr w14:paraId="4A99C88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6A1393B3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晶体底座直径</w:t>
                  </w:r>
                </w:p>
              </w:tc>
              <w:tc>
                <w:tcPr>
                  <w:tcW w:w="3005" w:type="dxa"/>
                  <w:noWrap/>
                  <w:vAlign w:val="bottom"/>
                </w:tcPr>
                <w:p w14:paraId="0C163271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asciiTheme="majorEastAsia" w:hAnsiTheme="majorEastAsia" w:eastAsiaTheme="majorEastAsia"/>
                      <w:b/>
                      <w:szCs w:val="21"/>
                    </w:rPr>
                    <w:t>101.6 mm±0.5 mm</w:t>
                  </w:r>
                </w:p>
              </w:tc>
            </w:tr>
            <w:tr w14:paraId="0642035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7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08AFCF93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采集XES光谱时加工误差</w:t>
                  </w:r>
                </w:p>
                <w:p w14:paraId="5BBAE1AA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带来的能量展宽</w:t>
                  </w:r>
                </w:p>
              </w:tc>
              <w:tc>
                <w:tcPr>
                  <w:tcW w:w="3005" w:type="dxa"/>
                  <w:noWrap/>
                  <w:vAlign w:val="center"/>
                </w:tcPr>
                <w:p w14:paraId="2B70177E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≤1</w:t>
                  </w:r>
                  <w:r>
                    <w:rPr>
                      <w:rFonts w:asciiTheme="majorEastAsia" w:hAnsiTheme="majorEastAsia" w:eastAsiaTheme="majorEastAsia"/>
                      <w:b/>
                      <w:szCs w:val="21"/>
                    </w:rPr>
                    <w:t>.2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 xml:space="preserve"> eV</w:t>
                  </w:r>
                </w:p>
              </w:tc>
            </w:tr>
            <w:tr w14:paraId="0C6ADB3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589C4E18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表面峰谷差（PV）</w:t>
                  </w:r>
                </w:p>
              </w:tc>
              <w:tc>
                <w:tcPr>
                  <w:tcW w:w="3005" w:type="dxa"/>
                  <w:noWrap/>
                  <w:vAlign w:val="center"/>
                </w:tcPr>
                <w:p w14:paraId="7F6CCFBF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≤5 μm</w:t>
                  </w:r>
                </w:p>
              </w:tc>
            </w:tr>
            <w:tr w14:paraId="6E560D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14B044B2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表面粗糙度（RMS）</w:t>
                  </w:r>
                </w:p>
              </w:tc>
              <w:tc>
                <w:tcPr>
                  <w:tcW w:w="3005" w:type="dxa"/>
                  <w:noWrap/>
                  <w:vAlign w:val="center"/>
                </w:tcPr>
                <w:p w14:paraId="49481B8F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≤1 μm</w:t>
                  </w:r>
                </w:p>
              </w:tc>
            </w:tr>
            <w:tr w14:paraId="77896A8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74D08215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附件配置</w:t>
                  </w:r>
                </w:p>
              </w:tc>
              <w:tc>
                <w:tcPr>
                  <w:tcW w:w="3005" w:type="dxa"/>
                  <w:noWrap/>
                  <w:vAlign w:val="center"/>
                </w:tcPr>
                <w:p w14:paraId="7E1B4740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包含安装支架及基座</w:t>
                  </w:r>
                </w:p>
              </w:tc>
            </w:tr>
            <w:tr w14:paraId="7D9304F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38F22CED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支架卡槽尺寸</w:t>
                  </w:r>
                </w:p>
              </w:tc>
              <w:tc>
                <w:tcPr>
                  <w:tcW w:w="3005" w:type="dxa"/>
                  <w:noWrap/>
                  <w:vAlign w:val="center"/>
                </w:tcPr>
                <w:p w14:paraId="3DB255D1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asciiTheme="majorEastAsia" w:hAnsiTheme="majorEastAsia" w:eastAsiaTheme="majorEastAsia"/>
                      <w:b/>
                      <w:szCs w:val="21"/>
                    </w:rPr>
                    <w:t>102 mm±0.5 mm</w:t>
                  </w:r>
                </w:p>
              </w:tc>
            </w:tr>
            <w:tr w14:paraId="2568DBD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2" w:hRule="atLeast"/>
                <w:jc w:val="center"/>
              </w:trPr>
              <w:tc>
                <w:tcPr>
                  <w:tcW w:w="1975" w:type="dxa"/>
                  <w:vAlign w:val="center"/>
                </w:tcPr>
                <w:p w14:paraId="500BF3D7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支架安装调平精度</w:t>
                  </w:r>
                </w:p>
              </w:tc>
              <w:tc>
                <w:tcPr>
                  <w:tcW w:w="3005" w:type="dxa"/>
                  <w:noWrap/>
                  <w:vAlign w:val="center"/>
                </w:tcPr>
                <w:p w14:paraId="75966335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≤100 μm</w:t>
                  </w:r>
                </w:p>
              </w:tc>
            </w:tr>
          </w:tbl>
          <w:p w14:paraId="4C3622BB">
            <w:pPr>
              <w:tabs>
                <w:tab w:val="left" w:pos="6915"/>
              </w:tabs>
              <w:spacing w:line="24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  <w:p w14:paraId="02F8F34B">
            <w:pPr>
              <w:tabs>
                <w:tab w:val="left" w:pos="6915"/>
              </w:tabs>
              <w:spacing w:line="240" w:lineRule="auto"/>
              <w:jc w:val="center"/>
              <w:rPr>
                <w:rFonts w:asciiTheme="majorEastAsia" w:hAnsiTheme="majorEastAsia" w:eastAsiaTheme="majorEastAsia"/>
                <w:b/>
              </w:rPr>
            </w:pPr>
            <w:r>
              <w:rPr>
                <w:rFonts w:hint="eastAsia" w:asciiTheme="majorEastAsia" w:hAnsiTheme="majorEastAsia" w:eastAsiaTheme="majorEastAsia"/>
                <w:b/>
              </w:rPr>
              <w:t>表</w:t>
            </w:r>
            <w:r>
              <w:rPr>
                <w:rFonts w:asciiTheme="majorEastAsia" w:hAnsiTheme="majorEastAsia" w:eastAsiaTheme="majorEastAsia"/>
                <w:b/>
              </w:rPr>
              <w:t xml:space="preserve">2 </w:t>
            </w:r>
            <w:r>
              <w:rPr>
                <w:rFonts w:hint="eastAsia" w:asciiTheme="majorEastAsia" w:hAnsiTheme="majorEastAsia" w:eastAsiaTheme="majorEastAsia"/>
                <w:b/>
              </w:rPr>
              <w:t>柱面弯晶技术参数要求</w:t>
            </w:r>
          </w:p>
          <w:tbl>
            <w:tblPr>
              <w:tblStyle w:val="5"/>
              <w:tblW w:w="494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59"/>
              <w:gridCol w:w="2981"/>
            </w:tblGrid>
            <w:tr w14:paraId="6ECB80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4940" w:type="dxa"/>
                  <w:gridSpan w:val="2"/>
                  <w:vAlign w:val="center"/>
                </w:tcPr>
                <w:p w14:paraId="239A3AB9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b/>
                      <w:szCs w:val="21"/>
                    </w:rPr>
                  </w:pPr>
                  <w:r>
                    <w:rPr>
                      <w:b/>
                      <w:szCs w:val="21"/>
                    </w:rPr>
                    <w:t>技术参数</w:t>
                  </w:r>
                </w:p>
              </w:tc>
            </w:tr>
            <w:tr w14:paraId="30D9DE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101584C3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面型</w:t>
                  </w:r>
                </w:p>
              </w:tc>
              <w:tc>
                <w:tcPr>
                  <w:tcW w:w="2981" w:type="dxa"/>
                  <w:noWrap/>
                  <w:vAlign w:val="bottom"/>
                </w:tcPr>
                <w:p w14:paraId="2492DA9F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柱面弯晶</w:t>
                  </w:r>
                </w:p>
              </w:tc>
            </w:tr>
            <w:tr w14:paraId="675E17C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1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314A09C8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弯晶尺寸</w:t>
                  </w:r>
                </w:p>
              </w:tc>
              <w:tc>
                <w:tcPr>
                  <w:tcW w:w="2981" w:type="dxa"/>
                  <w:noWrap/>
                  <w:vAlign w:val="bottom"/>
                </w:tcPr>
                <w:p w14:paraId="6C8335D5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100 mm±0.5 mm（弯曲方向）</w:t>
                  </w:r>
                </w:p>
                <w:p w14:paraId="006615C7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50 mm±0.5 mm（非弯曲方向）</w:t>
                  </w:r>
                </w:p>
              </w:tc>
            </w:tr>
            <w:tr w14:paraId="0836241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1FC33F1B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曲率半径</w:t>
                  </w:r>
                </w:p>
              </w:tc>
              <w:tc>
                <w:tcPr>
                  <w:tcW w:w="2981" w:type="dxa"/>
                  <w:noWrap/>
                  <w:vAlign w:val="bottom"/>
                </w:tcPr>
                <w:p w14:paraId="2058C2CE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asciiTheme="majorEastAsia" w:hAnsiTheme="majorEastAsia" w:eastAsiaTheme="majorEastAsia"/>
                      <w:b/>
                    </w:rPr>
                    <w:t>250 mm±1%</w:t>
                  </w:r>
                </w:p>
              </w:tc>
            </w:tr>
            <w:tr w14:paraId="3449497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201261BE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晶片厚度</w:t>
                  </w:r>
                </w:p>
              </w:tc>
              <w:tc>
                <w:tcPr>
                  <w:tcW w:w="2981" w:type="dxa"/>
                  <w:noWrap/>
                  <w:vAlign w:val="bottom"/>
                </w:tcPr>
                <w:p w14:paraId="7C3C6706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asciiTheme="majorEastAsia" w:hAnsiTheme="majorEastAsia" w:eastAsiaTheme="majorEastAsia"/>
                      <w:b/>
                      <w:szCs w:val="21"/>
                    </w:rPr>
                    <w:t>300 μm±10 μm</w:t>
                  </w:r>
                </w:p>
              </w:tc>
            </w:tr>
            <w:tr w14:paraId="5FA396E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7A933C0E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晶向误差</w:t>
                  </w:r>
                </w:p>
              </w:tc>
              <w:tc>
                <w:tcPr>
                  <w:tcW w:w="2981" w:type="dxa"/>
                  <w:noWrap/>
                  <w:vAlign w:val="bottom"/>
                </w:tcPr>
                <w:p w14:paraId="7D73D447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≤0.3 degree</w:t>
                  </w:r>
                </w:p>
              </w:tc>
            </w:tr>
            <w:tr w14:paraId="791AB73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21E150DF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玻璃底座平面度</w:t>
                  </w:r>
                </w:p>
              </w:tc>
              <w:tc>
                <w:tcPr>
                  <w:tcW w:w="2981" w:type="dxa"/>
                  <w:noWrap/>
                  <w:vAlign w:val="bottom"/>
                </w:tcPr>
                <w:p w14:paraId="5BE847E3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≤1/4 lambda</w:t>
                  </w:r>
                </w:p>
              </w:tc>
            </w:tr>
            <w:tr w14:paraId="20B3BFD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10F48EF5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晶体底座尺寸</w:t>
                  </w:r>
                </w:p>
              </w:tc>
              <w:tc>
                <w:tcPr>
                  <w:tcW w:w="2981" w:type="dxa"/>
                  <w:noWrap/>
                  <w:vAlign w:val="bottom"/>
                </w:tcPr>
                <w:p w14:paraId="600ABA22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101.6 mm±0.5 mm（弯曲方向）</w:t>
                  </w:r>
                </w:p>
                <w:p w14:paraId="111D00C8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51.6 mm±0.5 mm（非弯曲方向）</w:t>
                  </w:r>
                </w:p>
              </w:tc>
            </w:tr>
            <w:tr w14:paraId="31C2C68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1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2AD36403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采集XES光谱时加工误差</w:t>
                  </w:r>
                </w:p>
                <w:p w14:paraId="0AB096D1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带来的能量展宽</w:t>
                  </w:r>
                </w:p>
              </w:tc>
              <w:tc>
                <w:tcPr>
                  <w:tcW w:w="2981" w:type="dxa"/>
                  <w:noWrap/>
                  <w:vAlign w:val="center"/>
                </w:tcPr>
                <w:p w14:paraId="33968D98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≤1</w:t>
                  </w:r>
                  <w:r>
                    <w:rPr>
                      <w:rFonts w:asciiTheme="majorEastAsia" w:hAnsiTheme="majorEastAsia" w:eastAsiaTheme="majorEastAsia"/>
                      <w:b/>
                      <w:szCs w:val="21"/>
                    </w:rPr>
                    <w:t>.2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 xml:space="preserve"> eV</w:t>
                  </w:r>
                </w:p>
              </w:tc>
            </w:tr>
            <w:tr w14:paraId="1AE670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184604E1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表面峰谷差（PV）</w:t>
                  </w:r>
                </w:p>
              </w:tc>
              <w:tc>
                <w:tcPr>
                  <w:tcW w:w="2981" w:type="dxa"/>
                  <w:noWrap/>
                  <w:vAlign w:val="center"/>
                </w:tcPr>
                <w:p w14:paraId="5135E030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≤5 μm</w:t>
                  </w:r>
                </w:p>
              </w:tc>
            </w:tr>
            <w:tr w14:paraId="1AA99B6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1588CAA4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表面粗糙度（RMS）</w:t>
                  </w:r>
                </w:p>
              </w:tc>
              <w:tc>
                <w:tcPr>
                  <w:tcW w:w="2981" w:type="dxa"/>
                  <w:noWrap/>
                  <w:vAlign w:val="center"/>
                </w:tcPr>
                <w:p w14:paraId="3BD2A250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≤1 μm</w:t>
                  </w:r>
                </w:p>
              </w:tc>
            </w:tr>
            <w:tr w14:paraId="5D893E1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2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77BB64B4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附件配置</w:t>
                  </w:r>
                </w:p>
              </w:tc>
              <w:tc>
                <w:tcPr>
                  <w:tcW w:w="2981" w:type="dxa"/>
                  <w:noWrap/>
                  <w:vAlign w:val="center"/>
                </w:tcPr>
                <w:p w14:paraId="6B13469F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包含安装支架及基座</w:t>
                  </w:r>
                </w:p>
              </w:tc>
            </w:tr>
            <w:tr w14:paraId="1ABF9C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1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751EF933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支架卡槽尺寸</w:t>
                  </w:r>
                </w:p>
              </w:tc>
              <w:tc>
                <w:tcPr>
                  <w:tcW w:w="2981" w:type="dxa"/>
                  <w:noWrap/>
                  <w:vAlign w:val="center"/>
                </w:tcPr>
                <w:p w14:paraId="0A3975CB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102 mm±0.5 mm（弯曲方向）</w:t>
                  </w:r>
                </w:p>
                <w:p w14:paraId="404B105D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52 mm±0.5 mm（非弯曲方向）</w:t>
                  </w:r>
                </w:p>
              </w:tc>
            </w:tr>
            <w:tr w14:paraId="3BEE04A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1" w:hRule="atLeast"/>
                <w:jc w:val="center"/>
              </w:trPr>
              <w:tc>
                <w:tcPr>
                  <w:tcW w:w="1959" w:type="dxa"/>
                  <w:vAlign w:val="center"/>
                </w:tcPr>
                <w:p w14:paraId="43F3DB1B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支架安装调平精度</w:t>
                  </w:r>
                </w:p>
              </w:tc>
              <w:tc>
                <w:tcPr>
                  <w:tcW w:w="2981" w:type="dxa"/>
                  <w:noWrap/>
                  <w:vAlign w:val="center"/>
                </w:tcPr>
                <w:p w14:paraId="7D297EAF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≤100 μm</w:t>
                  </w:r>
                </w:p>
              </w:tc>
            </w:tr>
          </w:tbl>
          <w:p w14:paraId="176D41E5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 w:cs="宋体"/>
                <w:bCs/>
                <w:szCs w:val="21"/>
              </w:rPr>
            </w:pPr>
          </w:p>
          <w:p w14:paraId="0343C5EC">
            <w:pPr>
              <w:tabs>
                <w:tab w:val="left" w:pos="6915"/>
              </w:tabs>
              <w:spacing w:line="240" w:lineRule="auto"/>
              <w:jc w:val="center"/>
              <w:rPr>
                <w:rFonts w:asciiTheme="majorEastAsia" w:hAnsiTheme="majorEastAsia" w:eastAsiaTheme="majorEastAsia"/>
                <w:b/>
              </w:rPr>
            </w:pPr>
            <w:r>
              <w:rPr>
                <w:rFonts w:hint="eastAsia" w:asciiTheme="majorEastAsia" w:hAnsiTheme="majorEastAsia" w:eastAsiaTheme="majorEastAsia"/>
                <w:b/>
              </w:rPr>
              <w:t>表</w:t>
            </w:r>
            <w:r>
              <w:rPr>
                <w:rFonts w:asciiTheme="majorEastAsia" w:hAnsiTheme="majorEastAsia" w:eastAsiaTheme="majorEastAsia"/>
                <w:b/>
              </w:rPr>
              <w:t xml:space="preserve">3 </w:t>
            </w:r>
            <w:r>
              <w:rPr>
                <w:rFonts w:hint="eastAsia" w:asciiTheme="majorEastAsia" w:hAnsiTheme="majorEastAsia" w:eastAsiaTheme="majorEastAsia"/>
                <w:b/>
              </w:rPr>
              <w:t>便携式分析晶体面型检测仪技术参数要求</w:t>
            </w:r>
          </w:p>
          <w:tbl>
            <w:tblPr>
              <w:tblStyle w:val="5"/>
              <w:tblW w:w="484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19"/>
              <w:gridCol w:w="2921"/>
            </w:tblGrid>
            <w:tr w14:paraId="322ABE1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  <w:jc w:val="center"/>
              </w:trPr>
              <w:tc>
                <w:tcPr>
                  <w:tcW w:w="4840" w:type="dxa"/>
                  <w:gridSpan w:val="2"/>
                  <w:vAlign w:val="center"/>
                </w:tcPr>
                <w:p w14:paraId="5A0CA535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b/>
                      <w:szCs w:val="21"/>
                    </w:rPr>
                  </w:pPr>
                  <w:r>
                    <w:rPr>
                      <w:b/>
                      <w:szCs w:val="21"/>
                    </w:rPr>
                    <w:t>技术参数</w:t>
                  </w:r>
                </w:p>
              </w:tc>
            </w:tr>
            <w:tr w14:paraId="733B19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  <w:jc w:val="center"/>
              </w:trPr>
              <w:tc>
                <w:tcPr>
                  <w:tcW w:w="1919" w:type="dxa"/>
                  <w:vAlign w:val="center"/>
                </w:tcPr>
                <w:p w14:paraId="2CCC69E7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探头重量</w:t>
                  </w:r>
                </w:p>
              </w:tc>
              <w:tc>
                <w:tcPr>
                  <w:tcW w:w="2921" w:type="dxa"/>
                  <w:noWrap/>
                  <w:vAlign w:val="bottom"/>
                </w:tcPr>
                <w:p w14:paraId="39079710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≤400 g</w:t>
                  </w:r>
                </w:p>
              </w:tc>
            </w:tr>
            <w:tr w14:paraId="7E4D199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9" w:hRule="atLeast"/>
                <w:jc w:val="center"/>
              </w:trPr>
              <w:tc>
                <w:tcPr>
                  <w:tcW w:w="1919" w:type="dxa"/>
                  <w:vAlign w:val="center"/>
                </w:tcPr>
                <w:p w14:paraId="3D606B81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探头测量行程</w:t>
                  </w:r>
                </w:p>
              </w:tc>
              <w:tc>
                <w:tcPr>
                  <w:tcW w:w="2921" w:type="dxa"/>
                  <w:noWrap/>
                  <w:vAlign w:val="bottom"/>
                </w:tcPr>
                <w:p w14:paraId="712046E8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±15mm（高精度模式）/±35mm（标准模式）</w:t>
                  </w:r>
                </w:p>
              </w:tc>
            </w:tr>
            <w:tr w14:paraId="30A55E8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  <w:jc w:val="center"/>
              </w:trPr>
              <w:tc>
                <w:tcPr>
                  <w:tcW w:w="1919" w:type="dxa"/>
                  <w:vAlign w:val="center"/>
                </w:tcPr>
                <w:p w14:paraId="6EDC3BBA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探测分辨率</w:t>
                  </w:r>
                </w:p>
              </w:tc>
              <w:tc>
                <w:tcPr>
                  <w:tcW w:w="2921" w:type="dxa"/>
                  <w:noWrap/>
                  <w:vAlign w:val="bottom"/>
                </w:tcPr>
                <w:p w14:paraId="11EC487B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≤0.25 μm</w:t>
                  </w:r>
                </w:p>
              </w:tc>
            </w:tr>
            <w:tr w14:paraId="7837ED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  <w:jc w:val="center"/>
              </w:trPr>
              <w:tc>
                <w:tcPr>
                  <w:tcW w:w="1919" w:type="dxa"/>
                  <w:vAlign w:val="center"/>
                </w:tcPr>
                <w:p w14:paraId="5328B564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采样周期</w:t>
                  </w:r>
                </w:p>
              </w:tc>
              <w:tc>
                <w:tcPr>
                  <w:tcW w:w="2921" w:type="dxa"/>
                  <w:noWrap/>
                  <w:vAlign w:val="bottom"/>
                </w:tcPr>
                <w:p w14:paraId="5BC38E53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≤100 μs</w:t>
                  </w:r>
                </w:p>
              </w:tc>
            </w:tr>
            <w:tr w14:paraId="3194A02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9" w:hRule="atLeast"/>
                <w:jc w:val="center"/>
              </w:trPr>
              <w:tc>
                <w:tcPr>
                  <w:tcW w:w="1919" w:type="dxa"/>
                  <w:vAlign w:val="center"/>
                </w:tcPr>
                <w:p w14:paraId="14A12D8A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最大面型测试直径尺寸</w:t>
                  </w:r>
                </w:p>
              </w:tc>
              <w:tc>
                <w:tcPr>
                  <w:tcW w:w="2921" w:type="dxa"/>
                  <w:noWrap/>
                  <w:vAlign w:val="bottom"/>
                </w:tcPr>
                <w:p w14:paraId="065CCF98">
                  <w:pPr>
                    <w:tabs>
                      <w:tab w:val="left" w:pos="6915"/>
                    </w:tabs>
                    <w:spacing w:line="240" w:lineRule="auto"/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≥120</w:t>
                  </w:r>
                  <w:r>
                    <w:rPr>
                      <w:rFonts w:asciiTheme="majorEastAsia" w:hAnsiTheme="majorEastAsia" w:eastAsiaTheme="majorEastAsia"/>
                      <w:b/>
                      <w:szCs w:val="21"/>
                    </w:rPr>
                    <w:t xml:space="preserve">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szCs w:val="21"/>
                    </w:rPr>
                    <w:t>mm</w:t>
                  </w:r>
                </w:p>
              </w:tc>
            </w:tr>
          </w:tbl>
          <w:p w14:paraId="7EEC8062">
            <w:pPr>
              <w:tabs>
                <w:tab w:val="left" w:pos="6915"/>
              </w:tabs>
              <w:spacing w:line="24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  <w:p w14:paraId="15DD4A18">
            <w:pPr>
              <w:tabs>
                <w:tab w:val="left" w:pos="6915"/>
              </w:tabs>
              <w:spacing w:line="24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drawing>
                <wp:inline distT="0" distB="0" distL="0" distR="0">
                  <wp:extent cx="3173730" cy="1820545"/>
                  <wp:effectExtent l="0" t="0" r="762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3730" cy="182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61E3C9">
            <w:pPr>
              <w:tabs>
                <w:tab w:val="left" w:pos="6915"/>
              </w:tabs>
              <w:spacing w:line="24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  <w:p w14:paraId="2DAF9E34">
            <w:pPr>
              <w:tabs>
                <w:tab w:val="left" w:pos="6915"/>
              </w:tabs>
              <w:spacing w:line="24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drawing>
                <wp:inline distT="0" distB="0" distL="0" distR="0">
                  <wp:extent cx="2932430" cy="1949450"/>
                  <wp:effectExtent l="0" t="0" r="1270" b="1270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430" cy="194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10EA8C">
            <w:pPr>
              <w:tabs>
                <w:tab w:val="left" w:pos="6915"/>
              </w:tabs>
              <w:spacing w:line="24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图3</w:t>
            </w:r>
            <w:r>
              <w:rPr>
                <w:rFonts w:ascii="宋体" w:hAnsi="宋体" w:cs="宋体"/>
                <w:bCs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szCs w:val="21"/>
              </w:rPr>
              <w:t>晶体加工图</w:t>
            </w:r>
          </w:p>
          <w:p w14:paraId="55DBF6EF">
            <w:pPr>
              <w:tabs>
                <w:tab w:val="left" w:pos="6915"/>
              </w:tabs>
              <w:spacing w:line="24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  <w:p w14:paraId="74307D4C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采集XES光谱时加工误差带来的能量展宽技术指标说明：</w:t>
            </w:r>
          </w:p>
          <w:p w14:paraId="58190B9C">
            <w:pPr>
              <w:spacing w:line="240" w:lineRule="auto"/>
              <w:ind w:firstLine="420" w:firstLineChars="200"/>
              <w:jc w:val="left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X</w:t>
            </w:r>
            <w:r>
              <w:rPr>
                <w:szCs w:val="21"/>
                <w14:ligatures w14:val="standardContextual"/>
              </w:rPr>
              <w:t>ES</w:t>
            </w:r>
            <w:r>
              <w:rPr>
                <w:rFonts w:hint="eastAsia"/>
                <w:szCs w:val="21"/>
                <w14:ligatures w14:val="standardContextual"/>
              </w:rPr>
              <w:t>的最终谱图分辨率由光束线分辨率、光谱仪分辨率</w:t>
            </w:r>
            <w:r>
              <w:rPr>
                <w:szCs w:val="21"/>
                <w14:ligatures w14:val="standardContextual"/>
              </w:rPr>
              <w:t>等多</w:t>
            </w:r>
            <w:r>
              <w:rPr>
                <w:rFonts w:hint="eastAsia"/>
                <w:szCs w:val="21"/>
                <w14:ligatures w14:val="standardContextual"/>
              </w:rPr>
              <w:t>重</w:t>
            </w:r>
            <w:r>
              <w:rPr>
                <w:szCs w:val="21"/>
                <w14:ligatures w14:val="standardContextual"/>
              </w:rPr>
              <w:t>因素贡献，具体关系如下：</w:t>
            </w:r>
          </w:p>
          <w:p w14:paraId="53DF340B">
            <w:pPr>
              <w:spacing w:line="240" w:lineRule="auto"/>
              <w:ind w:firstLine="420" w:firstLineChars="200"/>
              <w:jc w:val="left"/>
              <w:rPr>
                <w:iCs/>
                <w:szCs w:val="21"/>
                <w14:ligatures w14:val="standardContextual"/>
              </w:rPr>
            </w:pPr>
            <m:oMathPara>
              <m:oMath>
                <m:r>
                  <m:rPr/>
                  <w:rPr>
                    <w:rFonts w:ascii="Cambria Math" w:hAnsi="Cambria Math"/>
                    <w:szCs w:val="21"/>
                    <w14:ligatures w14:val="standardContextual"/>
                  </w:rPr>
                  <m:t>∆E=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iCs/>
                        <w:szCs w:val="21"/>
                        <w14:ligatures w14:val="standardContextual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i/>
                        <w:iCs/>
                        <w:szCs w:val="21"/>
                        <w14:ligatures w14:val="standardContextual"/>
                      </w:rPr>
                    </m:ctrlPr>
                  </m:deg>
                  <m:e>
                    <m:r>
                      <m:rPr/>
                      <w:rPr>
                        <w:rFonts w:ascii="Cambria Math" w:hAnsi="Cambria Math"/>
                        <w:szCs w:val="21"/>
                        <w14:ligatures w14:val="standardContextual"/>
                      </w:rPr>
                      <m:t> 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∆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E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hint="eastAsia" w:ascii="Cambria Math" w:hAnsi="Cambria Math"/>
                                <w:szCs w:val="21"/>
                                <w14:ligatures w14:val="standardContextual"/>
                              </w:rPr>
                              <m:t>b</m:t>
                            </m:r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eamline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up>
                    </m:sSup>
                    <m:r>
                      <m:rPr/>
                      <w:rPr>
                        <w:rFonts w:ascii="Cambria Math" w:hAnsi="Cambria Math"/>
                        <w:szCs w:val="21"/>
                        <w14:ligatures w14:val="standardContextual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∆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E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spot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up>
                    </m:sSup>
                    <m:r>
                      <m:rPr/>
                      <w:rPr>
                        <w:rFonts w:ascii="Cambria Math" w:hAnsi="Cambria Math"/>
                        <w:szCs w:val="21"/>
                        <w14:ligatures w14:val="standardContextual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∆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E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Darwin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up>
                    </m:sSup>
                    <m:r>
                      <m:rPr/>
                      <w:rPr>
                        <w:rFonts w:ascii="Cambria Math" w:hAnsi="Cambria Math"/>
                        <w:szCs w:val="21"/>
                        <w14:ligatures w14:val="standardContextual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∆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E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Johann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up>
                    </m:sSup>
                    <m:r>
                      <m:rPr/>
                      <w:rPr>
                        <w:rFonts w:ascii="Cambria Math" w:hAnsi="Cambria Math"/>
                        <w:szCs w:val="21"/>
                        <w14:ligatures w14:val="standardContextual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∆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E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/>
                                <w:szCs w:val="21"/>
                                <w14:ligatures w14:val="standardContextual"/>
                              </w:rPr>
                              <m:t>Process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1"/>
                                <w14:ligatures w14:val="standardContextual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/>
                            <w:szCs w:val="21"/>
                            <w14:ligatures w14:val="standardContextual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i/>
                            <w:iCs/>
                            <w:szCs w:val="21"/>
                            <w14:ligatures w14:val="standardContextual"/>
                          </w:rPr>
                        </m:ctrlPr>
                      </m:sup>
                    </m:sSup>
                    <m:ctrlPr>
                      <w:rPr>
                        <w:rFonts w:ascii="Cambria Math" w:hAnsi="Cambria Math"/>
                        <w:i/>
                        <w:iCs/>
                        <w:szCs w:val="21"/>
                        <w14:ligatures w14:val="standardContextual"/>
                      </w:rPr>
                    </m:ctrlPr>
                  </m:e>
                </m:rad>
              </m:oMath>
            </m:oMathPara>
          </w:p>
          <w:p w14:paraId="34DC68B5">
            <w:pPr>
              <w:spacing w:line="240" w:lineRule="auto"/>
              <w:ind w:firstLine="420" w:firstLineChars="200"/>
              <w:jc w:val="left"/>
              <w:rPr>
                <w:szCs w:val="21"/>
                <w14:ligatures w14:val="standardContextual"/>
              </w:rPr>
            </w:pPr>
            <w:r>
              <w:rPr>
                <w:rFonts w:hint="eastAsia"/>
                <w:iCs/>
                <w:szCs w:val="21"/>
                <w14:ligatures w14:val="standardContextual"/>
              </w:rPr>
              <w:t>其中</w:t>
            </w:r>
            <m:oMath>
              <m:r>
                <m:rPr/>
                <w:rPr>
                  <w:rFonts w:ascii="Cambria Math" w:hAnsi="Cambria Math"/>
                  <w:szCs w:val="21"/>
                  <w14:ligatures w14:val="standardContextual"/>
                </w:rPr>
                <m:t>∆E</m:t>
              </m:r>
            </m:oMath>
            <w:r>
              <w:rPr>
                <w:rFonts w:hint="eastAsia"/>
                <w:iCs/>
                <w:szCs w:val="21"/>
                <w14:ligatures w14:val="standardContextual"/>
              </w:rPr>
              <w:t>表示</w:t>
            </w:r>
            <w:r>
              <w:rPr>
                <w:szCs w:val="21"/>
                <w14:ligatures w14:val="standardContextual"/>
              </w:rPr>
              <w:t>XES 系统总分辨率</w:t>
            </w:r>
            <w:r>
              <w:rPr>
                <w:rFonts w:hint="eastAsia"/>
                <w:szCs w:val="21"/>
                <w14:ligatures w14:val="standardContextual"/>
              </w:rPr>
              <w:t>展宽，</w:t>
            </w:r>
            <w:r>
              <w:rPr>
                <w:i/>
                <w:iCs/>
                <w:szCs w:val="21"/>
                <w14:ligatures w14:val="standardContextual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  <w14:ligatures w14:val="standardContextual"/>
                    </w:rPr>
                    <m:t>Δ</m:t>
                  </m:r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e>
                <m:sub>
                  <m:r>
                    <m:rPr/>
                    <w:rPr>
                      <w:rFonts w:hint="eastAsia" w:ascii="Cambria Math" w:hAnsi="Cambria Math"/>
                      <w:szCs w:val="21"/>
                      <w14:ligatures w14:val="standardContextual"/>
                    </w:rPr>
                    <m:t>beamline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ub>
              </m:sSub>
              <m:r>
                <m:rPr>
                  <m:sty m:val="p"/>
                </m:rPr>
                <w:rPr>
                  <w:rFonts w:hint="eastAsia" w:ascii="Cambria Math" w:hAnsi="Cambria Math"/>
                  <w:szCs w:val="21"/>
                  <w14:ligatures w14:val="standardContextual"/>
                </w:rPr>
                <m:t>表示</m:t>
              </m:r>
            </m:oMath>
            <w:r>
              <w:rPr>
                <w:rFonts w:hint="eastAsia"/>
                <w:szCs w:val="21"/>
                <w14:ligatures w14:val="standardContextual"/>
              </w:rPr>
              <w:t>光束线分辨率展宽，</w:t>
            </w:r>
            <w:r>
              <w:rPr>
                <w:i/>
                <w:iCs/>
                <w:szCs w:val="21"/>
                <w14:ligatures w14:val="standardContextual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  <w14:ligatures w14:val="standardContextual"/>
                    </w:rPr>
                    <m:t>Δ</m:t>
                  </m:r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spot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ub>
              </m:sSub>
              <m:r>
                <m:rPr>
                  <m:sty m:val="p"/>
                </m:rPr>
                <w:rPr>
                  <w:rFonts w:hint="eastAsia" w:ascii="Cambria Math" w:hAnsi="Cambria Math"/>
                  <w:szCs w:val="21"/>
                  <w14:ligatures w14:val="standardContextual"/>
                </w:rPr>
                <m:t>表示</m:t>
              </m:r>
            </m:oMath>
            <w:r>
              <w:rPr>
                <w:rFonts w:hint="eastAsia"/>
                <w:szCs w:val="21"/>
                <w14:ligatures w14:val="standardContextual"/>
              </w:rPr>
              <w:t>光源几何尺寸带来的分辨率展宽，</w:t>
            </w:r>
            <m:oMath>
              <m:r>
                <m:rPr/>
                <w:rPr>
                  <w:rFonts w:ascii="Cambria Math" w:hAnsi="Cambria Math"/>
                  <w:szCs w:val="21"/>
                  <w14:ligatures w14:val="standardContextual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Darwin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ub>
              </m:sSub>
            </m:oMath>
            <w:r>
              <w:rPr>
                <w:rFonts w:hint="eastAsia"/>
                <w:szCs w:val="21"/>
                <w14:ligatures w14:val="standardContextual"/>
              </w:rPr>
              <w:t>表示晶体本征达尔文宽度带来的分辨率展宽，</w:t>
            </w:r>
            <m:oMath>
              <m:r>
                <m:rPr/>
                <w:rPr>
                  <w:rFonts w:ascii="Cambria Math" w:hAnsi="Cambria Math"/>
                  <w:szCs w:val="21"/>
                  <w14:ligatures w14:val="standardContextual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Johann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ub>
              </m:sSub>
            </m:oMath>
            <w:r>
              <w:rPr>
                <w:rFonts w:hint="eastAsia"/>
                <w:szCs w:val="21"/>
                <w14:ligatures w14:val="standardContextual"/>
              </w:rPr>
              <w:t>表示约翰几何像差带来的分辨率展宽，</w:t>
            </w:r>
            <m:oMath>
              <m:r>
                <m:rPr/>
                <w:rPr>
                  <w:rFonts w:ascii="Cambria Math" w:hAnsi="Cambria Math"/>
                  <w:szCs w:val="21"/>
                  <w14:ligatures w14:val="standardContextual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SubPr>
                <m:e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e>
                <m:sub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P</m:t>
                  </m:r>
                  <m:r>
                    <m:rPr/>
                    <w:rPr>
                      <w:rFonts w:hint="eastAsia" w:ascii="Cambria Math" w:hAnsi="Cambria Math"/>
                      <w:szCs w:val="21"/>
                      <w14:ligatures w14:val="standardContextual"/>
                    </w:rPr>
                    <m:t>r</m:t>
                  </m:r>
                  <m:r>
                    <m:rPr/>
                    <w:rPr>
                      <w:rFonts w:ascii="Cambria Math" w:hAnsi="Cambria Math"/>
                      <w:szCs w:val="21"/>
                      <w14:ligatures w14:val="standardContextual"/>
                    </w:rPr>
                    <m:t>ocess</m:t>
                  </m:r>
                  <m:ctrlPr>
                    <w:rPr>
                      <w:rFonts w:ascii="Cambria Math" w:hAnsi="Cambria Math"/>
                      <w:i/>
                      <w:iCs/>
                      <w:szCs w:val="21"/>
                      <w14:ligatures w14:val="standardContextual"/>
                    </w:rPr>
                  </m:ctrlPr>
                </m:sub>
              </m:sSub>
            </m:oMath>
            <w:r>
              <w:rPr>
                <w:rFonts w:hint="eastAsia"/>
                <w:szCs w:val="21"/>
                <w14:ligatures w14:val="standardContextual"/>
              </w:rPr>
              <w:t>表示晶体加工误差带来的分辨率展宽；</w:t>
            </w:r>
          </w:p>
          <w:p w14:paraId="40B257D8">
            <w:pPr>
              <w:spacing w:line="240" w:lineRule="auto"/>
              <w:ind w:firstLine="420" w:firstLineChars="20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  <w14:ligatures w14:val="standardContextual"/>
              </w:rPr>
              <w:t>利用上述关系可知，</w:t>
            </w:r>
            <w:r>
              <w:rPr>
                <w:szCs w:val="21"/>
                <w14:ligatures w14:val="standardContextual"/>
              </w:rPr>
              <w:t>通过测量弹性散射峰的半高宽（FWHM）获得</w:t>
            </w:r>
            <w:r>
              <w:rPr>
                <w:rFonts w:hint="eastAsia"/>
                <w:szCs w:val="21"/>
                <w14:ligatures w14:val="standardContextual"/>
              </w:rPr>
              <w:t>XES的最终谱图分辨率</w:t>
            </w:r>
            <w:r>
              <w:rPr>
                <w:szCs w:val="21"/>
                <w14:ligatures w14:val="standardContextual"/>
              </w:rPr>
              <w:t>，依次核减</w:t>
            </w:r>
            <w:r>
              <w:rPr>
                <w:rFonts w:hint="eastAsia"/>
                <w:szCs w:val="21"/>
                <w14:ligatures w14:val="standardContextual"/>
              </w:rPr>
              <w:t>对应</w:t>
            </w:r>
            <w:r>
              <w:rPr>
                <w:szCs w:val="21"/>
                <w14:ligatures w14:val="standardContextual"/>
              </w:rPr>
              <w:t>光束线分辨率、</w:t>
            </w:r>
            <w:r>
              <w:rPr>
                <w:rFonts w:hint="eastAsia"/>
                <w:szCs w:val="21"/>
                <w14:ligatures w14:val="standardContextual"/>
              </w:rPr>
              <w:t>光源尺寸展宽</w:t>
            </w:r>
            <w:r>
              <w:rPr>
                <w:szCs w:val="21"/>
                <w14:ligatures w14:val="standardContextual"/>
              </w:rPr>
              <w:t>等已知项，最终</w:t>
            </w:r>
            <w:r>
              <w:rPr>
                <w:rFonts w:hint="eastAsia"/>
                <w:szCs w:val="21"/>
                <w14:ligatures w14:val="standardContextual"/>
              </w:rPr>
              <w:t>可</w:t>
            </w:r>
            <w:r>
              <w:rPr>
                <w:szCs w:val="21"/>
                <w14:ligatures w14:val="standardContextual"/>
              </w:rPr>
              <w:t>得到</w:t>
            </w:r>
            <w:r>
              <w:rPr>
                <w:rFonts w:hint="eastAsia"/>
                <w:szCs w:val="21"/>
                <w14:ligatures w14:val="standardContextual"/>
              </w:rPr>
              <w:t>采集XES光谱时加工误差带来的能量展宽。</w:t>
            </w:r>
          </w:p>
          <w:p w14:paraId="022D8813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C6791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签订合同后6个月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（1）合同签订后，支付合同总价的30%；（2）货物出厂测试合格并发货后，支付合同总价的60%；（3）货到买方指定地点并且经买方验收合格后，支付合同总价的10%。</w:t>
            </w:r>
          </w:p>
          <w:p w14:paraId="3364DAC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乙方需提供测量工具的型号、编号以及具有资质的第三方出具的检定报告，经甲方核验签字确认后对各项指标进行出厂测试，满足询价文件中给出的指标要求。同时，提供产品使用及维护说明书。其中采集XES光谱时加工误差带来的能量展宽在上海光源BL20U1（E-line硬X射线高能量分辨率谱学光束线站）测试。</w:t>
            </w:r>
          </w:p>
          <w:p w14:paraId="7448BE1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1个月内线下确认设计方案（包含且不限于三维模型、二维图纸等必要文件）后付预付款，设计经甲方确认后方可投产；乙方在研制过程中按甲方签字确认的设计方案内容实施，如存在重大技术状态更改时，应形成更改记录，并经甲方签字确认后执行；签订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hint="eastAsia" w:ascii="宋体" w:hAnsi="宋体"/>
                <w:bCs/>
                <w:szCs w:val="21"/>
              </w:rPr>
              <w:t>个月内进行出厂测试并提供所有文本材料，若存在外购材料，务必另附外购清单。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档案要求：</w:t>
            </w:r>
            <w:r>
              <w:rPr>
                <w:rFonts w:hint="eastAsia" w:ascii="宋体" w:hAnsi="宋体"/>
                <w:bCs/>
                <w:szCs w:val="21"/>
              </w:rPr>
              <w:t>厂家应按照合肥先进光源工程办要求提供三维模型、二维图纸等必要文件留档；厂家提供需提供具体的技术文档。</w:t>
            </w:r>
          </w:p>
          <w:p w14:paraId="282C1A04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提供至少1年的免费保修，包含人工、维修及零件等费用。在保修期内，供货商需要及时提供维修服务，包括产品的正常检修、维护等，保修期自验收签字之日算起。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6456758B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2026-07-13T09:47:30Z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