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联锁保护模块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BA8220D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功能要求</w:t>
            </w:r>
            <w:r>
              <w:rPr>
                <w:rFonts w:ascii="宋体" w:hAnsi="宋体" w:cs="宋体"/>
                <w:bCs/>
                <w:sz w:val="24"/>
              </w:rPr>
              <w:t>：</w:t>
            </w:r>
          </w:p>
          <w:p w14:paraId="1C2F1315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处理器采用</w:t>
            </w:r>
            <w:r>
              <w:rPr>
                <w:rFonts w:hint="eastAsia" w:hAnsi="宋体"/>
                <w:bCs/>
                <w:szCs w:val="21"/>
              </w:rPr>
              <w:t>F</w:t>
            </w:r>
            <w:r>
              <w:rPr>
                <w:rFonts w:hAnsi="宋体"/>
                <w:bCs/>
                <w:szCs w:val="21"/>
              </w:rPr>
              <w:t>PGA</w:t>
            </w:r>
            <w:r>
              <w:rPr>
                <w:rFonts w:hint="eastAsia"/>
                <w:bCs/>
                <w:szCs w:val="21"/>
              </w:rPr>
              <w:t>实现，资源要求：内部集成A</w:t>
            </w:r>
            <w:r>
              <w:rPr>
                <w:bCs/>
                <w:szCs w:val="21"/>
              </w:rPr>
              <w:t>RM</w:t>
            </w:r>
            <w:r>
              <w:rPr>
                <w:rFonts w:hint="eastAsia"/>
                <w:bCs/>
                <w:szCs w:val="21"/>
              </w:rPr>
              <w:t>处理器，配置不低于</w:t>
            </w:r>
            <w:r>
              <w:rPr>
                <w:bCs/>
                <w:szCs w:val="21"/>
              </w:rPr>
              <w:t>双核 ARM Cortex-A9 MPCore @ </w:t>
            </w:r>
            <w:r>
              <w:rPr>
                <w:b/>
              </w:rPr>
              <w:t>800MHz，</w:t>
            </w:r>
            <w:r>
              <w:rPr>
                <w:rFonts w:hint="eastAsia"/>
                <w:bCs/>
                <w:szCs w:val="21"/>
              </w:rPr>
              <w:t>逻辑单元不少于</w:t>
            </w:r>
            <w:r>
              <w:rPr>
                <w:bCs/>
                <w:szCs w:val="21"/>
              </w:rPr>
              <w:t>444K，</w:t>
            </w:r>
            <w:r>
              <w:rPr>
                <w:rFonts w:hint="eastAsia"/>
                <w:bCs/>
                <w:szCs w:val="21"/>
              </w:rPr>
              <w:t>查找</w:t>
            </w:r>
            <w:r>
              <w:rPr>
                <w:bCs/>
                <w:szCs w:val="21"/>
              </w:rPr>
              <w:t>表不少于</w:t>
            </w:r>
            <w:r>
              <w:rPr>
                <w:rFonts w:hint="eastAsia"/>
                <w:bCs/>
                <w:szCs w:val="21"/>
              </w:rPr>
              <w:t>1</w:t>
            </w:r>
            <w:r>
              <w:rPr>
                <w:bCs/>
                <w:szCs w:val="21"/>
              </w:rPr>
              <w:t>01440</w:t>
            </w:r>
            <w:r>
              <w:rPr>
                <w:rFonts w:hint="eastAsia"/>
                <w:bCs/>
                <w:szCs w:val="21"/>
              </w:rPr>
              <w:t>个</w:t>
            </w:r>
            <w:r>
              <w:rPr>
                <w:bCs/>
                <w:szCs w:val="21"/>
              </w:rPr>
              <w:t>，</w:t>
            </w:r>
            <w:r>
              <w:rPr>
                <w:rFonts w:hint="eastAsia"/>
                <w:bCs/>
                <w:szCs w:val="21"/>
              </w:rPr>
              <w:t>B</w:t>
            </w:r>
            <w:r>
              <w:rPr>
                <w:bCs/>
                <w:szCs w:val="21"/>
              </w:rPr>
              <w:t>RAM不少于</w:t>
            </w:r>
            <w:r>
              <w:rPr>
                <w:rFonts w:hint="eastAsia"/>
                <w:bCs/>
                <w:szCs w:val="21"/>
              </w:rPr>
              <w:t>2</w:t>
            </w:r>
            <w:r>
              <w:rPr>
                <w:bCs/>
                <w:szCs w:val="21"/>
              </w:rPr>
              <w:t>6.5Mb，</w:t>
            </w:r>
            <w:r>
              <w:rPr>
                <w:rFonts w:hint="eastAsia"/>
                <w:bCs/>
                <w:szCs w:val="21"/>
              </w:rPr>
              <w:t>D</w:t>
            </w:r>
            <w:r>
              <w:rPr>
                <w:bCs/>
                <w:szCs w:val="21"/>
              </w:rPr>
              <w:t>SP48E1不少于</w:t>
            </w:r>
            <w:r>
              <w:rPr>
                <w:rFonts w:hint="eastAsia"/>
                <w:bCs/>
                <w:szCs w:val="21"/>
              </w:rPr>
              <w:t>2</w:t>
            </w:r>
            <w:r>
              <w:rPr>
                <w:bCs/>
                <w:szCs w:val="21"/>
              </w:rPr>
              <w:t>020个；</w:t>
            </w:r>
            <w:r>
              <w:rPr>
                <w:rFonts w:hint="eastAsia"/>
                <w:bCs/>
                <w:szCs w:val="21"/>
              </w:rPr>
              <w:t>根据系统使用需求提供逻辑软件定制化服务；</w:t>
            </w:r>
          </w:p>
          <w:p w14:paraId="54FBD59C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内部集成2路独立可控的射频开关，支持软件控制；</w:t>
            </w:r>
          </w:p>
          <w:p w14:paraId="5C3E985D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接收外部数字量</w:t>
            </w:r>
            <w:r>
              <w:rPr>
                <w:bCs/>
                <w:szCs w:val="21"/>
              </w:rPr>
              <w:t>(TTL</w:t>
            </w:r>
            <w:r>
              <w:rPr>
                <w:rFonts w:hAnsi="宋体"/>
                <w:bCs/>
                <w:szCs w:val="21"/>
              </w:rPr>
              <w:t>、开关量</w:t>
            </w:r>
            <w:r>
              <w:rPr>
                <w:bCs/>
                <w:szCs w:val="21"/>
              </w:rPr>
              <w:t>)</w:t>
            </w:r>
            <w:r>
              <w:rPr>
                <w:rFonts w:hAnsi="宋体"/>
                <w:bCs/>
                <w:szCs w:val="21"/>
              </w:rPr>
              <w:t>状态信号；接收外部模拟量信号</w:t>
            </w:r>
            <w:r>
              <w:rPr>
                <w:bCs/>
                <w:szCs w:val="21"/>
              </w:rPr>
              <w:t>(4-20mA</w:t>
            </w:r>
            <w:r>
              <w:rPr>
                <w:rFonts w:hAnsi="宋体"/>
                <w:bCs/>
                <w:szCs w:val="21"/>
              </w:rPr>
              <w:t>电流，</w:t>
            </w:r>
            <w:r>
              <w:rPr>
                <w:bCs/>
                <w:szCs w:val="21"/>
              </w:rPr>
              <w:t>-10-10V</w:t>
            </w:r>
            <w:r>
              <w:rPr>
                <w:rFonts w:hAnsi="宋体"/>
                <w:bCs/>
                <w:szCs w:val="21"/>
              </w:rPr>
              <w:t>电压，温度</w:t>
            </w:r>
            <w:r>
              <w:rPr>
                <w:rFonts w:hint="eastAsia"/>
                <w:bCs/>
                <w:szCs w:val="21"/>
              </w:rPr>
              <w:t>20-120℃)</w:t>
            </w:r>
            <w:r>
              <w:rPr>
                <w:rFonts w:hAnsi="宋体"/>
                <w:bCs/>
                <w:szCs w:val="21"/>
              </w:rPr>
              <w:t>，</w:t>
            </w:r>
            <w:r>
              <w:rPr>
                <w:bCs/>
                <w:szCs w:val="21"/>
              </w:rPr>
              <w:t>ADC</w:t>
            </w:r>
            <w:r>
              <w:rPr>
                <w:rFonts w:hAnsi="宋体"/>
                <w:bCs/>
                <w:szCs w:val="21"/>
              </w:rPr>
              <w:t>采集后，送入</w:t>
            </w:r>
            <w:r>
              <w:rPr>
                <w:bCs/>
                <w:szCs w:val="21"/>
              </w:rPr>
              <w:t>FPGA</w:t>
            </w:r>
            <w:r>
              <w:rPr>
                <w:rFonts w:hAnsi="宋体"/>
                <w:bCs/>
                <w:szCs w:val="21"/>
              </w:rPr>
              <w:t>进行数据恢复，获得状态信息；对所有状态信息进行合路判断，产生合路联锁信号输出，同时该联锁信号用于控制射频</w:t>
            </w:r>
            <w:r>
              <w:rPr>
                <w:rFonts w:hint="eastAsia" w:hAnsi="宋体"/>
                <w:bCs/>
                <w:szCs w:val="21"/>
              </w:rPr>
              <w:t>开关</w:t>
            </w:r>
            <w:r>
              <w:rPr>
                <w:rFonts w:hAnsi="宋体"/>
                <w:bCs/>
                <w:szCs w:val="21"/>
              </w:rPr>
              <w:t>通断；</w:t>
            </w:r>
          </w:p>
          <w:p w14:paraId="686807B1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实现千兆网络通信</w:t>
            </w:r>
            <w:r>
              <w:rPr>
                <w:rFonts w:hint="eastAsia" w:hAnsi="宋体"/>
                <w:bCs/>
                <w:szCs w:val="21"/>
              </w:rPr>
              <w:t>，</w:t>
            </w:r>
            <w:r>
              <w:rPr>
                <w:rFonts w:hAnsi="宋体"/>
                <w:bCs/>
                <w:szCs w:val="21"/>
              </w:rPr>
              <w:t>可实现通过网络接口的远程</w:t>
            </w:r>
            <w:r>
              <w:rPr>
                <w:bCs/>
                <w:szCs w:val="21"/>
              </w:rPr>
              <w:t>FPGA</w:t>
            </w:r>
            <w:r>
              <w:rPr>
                <w:rFonts w:hAnsi="宋体"/>
                <w:bCs/>
                <w:szCs w:val="21"/>
              </w:rPr>
              <w:t>程序加载和</w:t>
            </w:r>
            <w:r>
              <w:rPr>
                <w:bCs/>
                <w:szCs w:val="21"/>
              </w:rPr>
              <w:t>FLASH</w:t>
            </w:r>
            <w:r>
              <w:rPr>
                <w:rFonts w:hAnsi="宋体"/>
                <w:bCs/>
                <w:szCs w:val="21"/>
              </w:rPr>
              <w:t>烧写；</w:t>
            </w:r>
          </w:p>
          <w:p w14:paraId="79FBFE51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实现与上位机的</w:t>
            </w:r>
            <w:r>
              <w:rPr>
                <w:bCs/>
                <w:szCs w:val="21"/>
              </w:rPr>
              <w:t>RS232</w:t>
            </w:r>
            <w:r>
              <w:rPr>
                <w:rFonts w:hAnsi="宋体"/>
                <w:bCs/>
                <w:szCs w:val="21"/>
              </w:rPr>
              <w:t>接口数据传输，备份</w:t>
            </w:r>
            <w:r>
              <w:rPr>
                <w:bCs/>
                <w:szCs w:val="21"/>
              </w:rPr>
              <w:t>1</w:t>
            </w:r>
            <w:r>
              <w:rPr>
                <w:rFonts w:hAnsi="宋体"/>
                <w:bCs/>
                <w:szCs w:val="21"/>
              </w:rPr>
              <w:t>路</w:t>
            </w:r>
            <w:r>
              <w:rPr>
                <w:bCs/>
                <w:szCs w:val="21"/>
              </w:rPr>
              <w:t>RS485</w:t>
            </w:r>
            <w:r>
              <w:rPr>
                <w:rFonts w:hAnsi="宋体"/>
                <w:bCs/>
                <w:szCs w:val="21"/>
              </w:rPr>
              <w:t>接口；</w:t>
            </w:r>
          </w:p>
          <w:p w14:paraId="535874A4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具有多路</w:t>
            </w:r>
            <w:r>
              <w:rPr>
                <w:bCs/>
                <w:szCs w:val="21"/>
              </w:rPr>
              <w:t>TTL</w:t>
            </w:r>
            <w:r>
              <w:rPr>
                <w:rFonts w:hAnsi="宋体"/>
                <w:bCs/>
                <w:szCs w:val="21"/>
              </w:rPr>
              <w:t>和开关量</w:t>
            </w:r>
            <w:r>
              <w:rPr>
                <w:rFonts w:hint="eastAsia" w:hAnsi="宋体"/>
                <w:bCs/>
                <w:szCs w:val="21"/>
              </w:rPr>
              <w:t>输出</w:t>
            </w:r>
            <w:r>
              <w:rPr>
                <w:rFonts w:hAnsi="宋体"/>
                <w:bCs/>
                <w:szCs w:val="21"/>
              </w:rPr>
              <w:t>信号，用于跟其他系统对接，且具有隔离抗干扰</w:t>
            </w:r>
            <w:r>
              <w:rPr>
                <w:rFonts w:hint="eastAsia" w:hAnsi="宋体"/>
                <w:bCs/>
                <w:szCs w:val="21"/>
              </w:rPr>
              <w:t>功能</w:t>
            </w:r>
            <w:r>
              <w:rPr>
                <w:rFonts w:hAnsi="宋体"/>
                <w:bCs/>
                <w:szCs w:val="21"/>
              </w:rPr>
              <w:t>；</w:t>
            </w:r>
          </w:p>
          <w:p w14:paraId="037FA44E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面板</w:t>
            </w:r>
            <w:r>
              <w:rPr>
                <w:rFonts w:hint="eastAsia" w:hAnsi="宋体"/>
                <w:bCs/>
                <w:szCs w:val="21"/>
              </w:rPr>
              <w:t>设置</w:t>
            </w:r>
            <w:r>
              <w:rPr>
                <w:rFonts w:hAnsi="宋体"/>
                <w:bCs/>
                <w:szCs w:val="21"/>
              </w:rPr>
              <w:t>复位按钮信号，</w:t>
            </w:r>
            <w:r>
              <w:rPr>
                <w:rFonts w:hint="eastAsia" w:hAnsi="宋体"/>
                <w:bCs/>
                <w:szCs w:val="21"/>
              </w:rPr>
              <w:t>可</w:t>
            </w:r>
            <w:r>
              <w:rPr>
                <w:rFonts w:hAnsi="宋体"/>
                <w:bCs/>
                <w:szCs w:val="21"/>
              </w:rPr>
              <w:t>复位系统；</w:t>
            </w:r>
          </w:p>
          <w:p w14:paraId="52CEE6F4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具有本</w:t>
            </w:r>
            <w:r>
              <w:rPr>
                <w:rFonts w:hint="eastAsia" w:hAnsi="宋体"/>
                <w:bCs/>
                <w:szCs w:val="21"/>
              </w:rPr>
              <w:t>地</w:t>
            </w:r>
            <w:r>
              <w:rPr>
                <w:rFonts w:hAnsi="宋体"/>
                <w:bCs/>
                <w:szCs w:val="21"/>
              </w:rPr>
              <w:t>数据存储</w:t>
            </w:r>
            <w:r>
              <w:rPr>
                <w:bCs/>
                <w:szCs w:val="21"/>
              </w:rPr>
              <w:t>(DDR3</w:t>
            </w:r>
            <w:r>
              <w:rPr>
                <w:rFonts w:hAnsi="宋体"/>
                <w:bCs/>
                <w:szCs w:val="21"/>
              </w:rPr>
              <w:t>、</w:t>
            </w:r>
            <w:r>
              <w:rPr>
                <w:bCs/>
                <w:szCs w:val="21"/>
              </w:rPr>
              <w:t>EMMC)</w:t>
            </w:r>
            <w:r>
              <w:rPr>
                <w:rFonts w:hAnsi="宋体"/>
                <w:bCs/>
                <w:szCs w:val="21"/>
              </w:rPr>
              <w:t>功能；</w:t>
            </w:r>
          </w:p>
          <w:p w14:paraId="667EF555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/>
                <w:b/>
                <w:sz w:val="24"/>
              </w:rPr>
              <w:t>技术参数与接口要求</w:t>
            </w:r>
            <w:r>
              <w:rPr>
                <w:rFonts w:hint="eastAsia"/>
                <w:sz w:val="24"/>
              </w:rPr>
              <w:t>：</w:t>
            </w:r>
          </w:p>
          <w:p w14:paraId="2F969DCA">
            <w:pPr>
              <w:pStyle w:val="11"/>
              <w:numPr>
                <w:ilvl w:val="0"/>
                <w:numId w:val="3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开关量：N</w:t>
            </w:r>
            <w:r>
              <w:rPr>
                <w:szCs w:val="21"/>
              </w:rPr>
              <w:t>PN</w:t>
            </w:r>
            <w:r>
              <w:rPr>
                <w:rFonts w:hint="eastAsia"/>
                <w:szCs w:val="21"/>
              </w:rPr>
              <w:t>型，输入16路，输出4路</w:t>
            </w:r>
            <w:r>
              <w:rPr>
                <w:rFonts w:hint="eastAsia"/>
                <w:kern w:val="0"/>
                <w:szCs w:val="21"/>
              </w:rPr>
              <w:t>，输入内部供电，输出不供电</w:t>
            </w:r>
            <w:r>
              <w:rPr>
                <w:rFonts w:hint="eastAsia"/>
                <w:szCs w:val="21"/>
              </w:rPr>
              <w:t>，连接器采用</w:t>
            </w:r>
            <w:r>
              <w:rPr>
                <w:kern w:val="0"/>
                <w:szCs w:val="21"/>
              </w:rPr>
              <w:t>EGG00B-2P</w:t>
            </w:r>
            <w:r>
              <w:rPr>
                <w:rFonts w:hint="eastAsia"/>
                <w:szCs w:val="21"/>
              </w:rPr>
              <w:t>；</w:t>
            </w:r>
          </w:p>
          <w:p w14:paraId="4030150A">
            <w:pPr>
              <w:pStyle w:val="11"/>
              <w:numPr>
                <w:ilvl w:val="0"/>
                <w:numId w:val="3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OC门：输入4路，输出4路，连接器采用</w:t>
            </w:r>
            <w:r>
              <w:rPr>
                <w:kern w:val="0"/>
                <w:szCs w:val="21"/>
              </w:rPr>
              <w:t>EGG00B-2P</w:t>
            </w:r>
            <w:r>
              <w:rPr>
                <w:rFonts w:hint="eastAsia"/>
                <w:szCs w:val="21"/>
              </w:rPr>
              <w:t>；</w:t>
            </w:r>
          </w:p>
          <w:p w14:paraId="0FA4057D">
            <w:pPr>
              <w:pStyle w:val="11"/>
              <w:numPr>
                <w:ilvl w:val="0"/>
                <w:numId w:val="3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TTL信号：输入12路，输出6路，连接器采用</w:t>
            </w:r>
            <w:r>
              <w:rPr>
                <w:kern w:val="0"/>
                <w:szCs w:val="21"/>
              </w:rPr>
              <w:t>EGG00B-2P</w:t>
            </w:r>
            <w:r>
              <w:rPr>
                <w:rFonts w:hint="eastAsia"/>
                <w:szCs w:val="21"/>
              </w:rPr>
              <w:t>；</w:t>
            </w:r>
            <w:bookmarkStart w:id="0" w:name="_Hlk168669717"/>
          </w:p>
          <w:p w14:paraId="2273529F">
            <w:pPr>
              <w:pStyle w:val="11"/>
              <w:numPr>
                <w:ilvl w:val="0"/>
                <w:numId w:val="3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流量计信号：输入20路，具体信号定义参见附表1，连接器采用</w:t>
            </w:r>
            <w:r>
              <w:rPr>
                <w:kern w:val="0"/>
                <w:szCs w:val="21"/>
              </w:rPr>
              <w:t>EGG00B-</w:t>
            </w:r>
            <w:r>
              <w:rPr>
                <w:rFonts w:hint="eastAsia"/>
                <w:kern w:val="0"/>
                <w:szCs w:val="21"/>
              </w:rPr>
              <w:t>4</w:t>
            </w:r>
            <w:r>
              <w:rPr>
                <w:kern w:val="0"/>
                <w:szCs w:val="21"/>
              </w:rPr>
              <w:t>P</w:t>
            </w:r>
            <w:r>
              <w:rPr>
                <w:rFonts w:hint="eastAsia"/>
                <w:szCs w:val="21"/>
              </w:rPr>
              <w:t>；</w:t>
            </w:r>
            <w:bookmarkEnd w:id="0"/>
            <w:bookmarkStart w:id="1" w:name="_Hlk168669739"/>
          </w:p>
          <w:p w14:paraId="3D3558CE">
            <w:pPr>
              <w:pStyle w:val="11"/>
              <w:numPr>
                <w:ilvl w:val="0"/>
                <w:numId w:val="3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电压信号：输入6路，连接器采用</w:t>
            </w:r>
            <w:r>
              <w:rPr>
                <w:kern w:val="0"/>
                <w:szCs w:val="21"/>
              </w:rPr>
              <w:t>EGG00B-2P</w:t>
            </w:r>
            <w:r>
              <w:rPr>
                <w:rFonts w:hint="eastAsia"/>
                <w:szCs w:val="21"/>
              </w:rPr>
              <w:t>；</w:t>
            </w:r>
            <w:bookmarkEnd w:id="1"/>
          </w:p>
          <w:p w14:paraId="429CB5C5">
            <w:pPr>
              <w:pStyle w:val="11"/>
              <w:numPr>
                <w:ilvl w:val="0"/>
                <w:numId w:val="3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温度信号（</w:t>
            </w:r>
            <w:r>
              <w:rPr>
                <w:szCs w:val="21"/>
              </w:rPr>
              <w:t>pt100</w:t>
            </w:r>
            <w:r>
              <w:rPr>
                <w:rFonts w:hint="eastAsia"/>
                <w:szCs w:val="21"/>
              </w:rPr>
              <w:t>四线制）：输入16路，连接器采用</w:t>
            </w:r>
            <w:r>
              <w:rPr>
                <w:kern w:val="0"/>
                <w:szCs w:val="21"/>
              </w:rPr>
              <w:t>EGG00B-</w:t>
            </w:r>
            <w:r>
              <w:rPr>
                <w:rFonts w:hint="eastAsia"/>
                <w:kern w:val="0"/>
                <w:szCs w:val="21"/>
              </w:rPr>
              <w:t>4</w:t>
            </w:r>
            <w:r>
              <w:rPr>
                <w:kern w:val="0"/>
                <w:szCs w:val="21"/>
              </w:rPr>
              <w:t>P</w:t>
            </w:r>
            <w:r>
              <w:rPr>
                <w:rFonts w:hint="eastAsia"/>
                <w:szCs w:val="21"/>
              </w:rPr>
              <w:t>；</w:t>
            </w:r>
          </w:p>
          <w:p w14:paraId="10F625BB">
            <w:pPr>
              <w:pStyle w:val="11"/>
              <w:numPr>
                <w:ilvl w:val="0"/>
                <w:numId w:val="3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打火探测器接口</w:t>
            </w:r>
            <w:r>
              <w:rPr>
                <w:szCs w:val="21"/>
              </w:rPr>
              <w:t>：输入</w:t>
            </w:r>
            <w:r>
              <w:rPr>
                <w:rFonts w:hint="eastAsia"/>
                <w:szCs w:val="21"/>
              </w:rPr>
              <w:t>2路，输出2路，具体信号定义参见附表2和3，连接器采用</w:t>
            </w:r>
            <w:r>
              <w:rPr>
                <w:kern w:val="0"/>
                <w:szCs w:val="21"/>
              </w:rPr>
              <w:t>EGG0B-</w:t>
            </w:r>
            <w:r>
              <w:rPr>
                <w:rFonts w:hint="eastAsia"/>
                <w:kern w:val="0"/>
                <w:szCs w:val="21"/>
              </w:rPr>
              <w:t>9</w:t>
            </w:r>
            <w:r>
              <w:rPr>
                <w:kern w:val="0"/>
                <w:szCs w:val="21"/>
              </w:rPr>
              <w:t>P</w:t>
            </w:r>
            <w:r>
              <w:rPr>
                <w:rFonts w:hint="eastAsia"/>
                <w:szCs w:val="21"/>
              </w:rPr>
              <w:t>；</w:t>
            </w:r>
          </w:p>
          <w:p w14:paraId="4E121E45">
            <w:pPr>
              <w:pStyle w:val="11"/>
              <w:numPr>
                <w:ilvl w:val="0"/>
                <w:numId w:val="3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射频通道2通道，即2路输入，2路输出，频率覆盖范围：</w:t>
            </w:r>
            <w:r>
              <w:rPr>
                <w:rFonts w:hint="eastAsia"/>
              </w:rPr>
              <w:t>10MHz~3GHz</w:t>
            </w:r>
            <w:r>
              <w:rPr>
                <w:rFonts w:hint="eastAsia"/>
                <w:szCs w:val="21"/>
              </w:rPr>
              <w:t>，连接器采用SMA；</w:t>
            </w:r>
            <w:r>
              <w:rPr>
                <w:rFonts w:ascii="宋体" w:hAnsi="宋体" w:cs="宋体"/>
                <w:bCs/>
                <w:szCs w:val="21"/>
              </w:rPr>
              <w:t xml:space="preserve"> </w:t>
            </w:r>
          </w:p>
          <w:p w14:paraId="282024C5">
            <w:pPr>
              <w:pStyle w:val="11"/>
              <w:numPr>
                <w:ilvl w:val="0"/>
                <w:numId w:val="3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网络通信接口：1路，连接器采用RJ45；</w:t>
            </w:r>
          </w:p>
          <w:p w14:paraId="742F5C06">
            <w:pPr>
              <w:pStyle w:val="11"/>
              <w:numPr>
                <w:ilvl w:val="0"/>
                <w:numId w:val="3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串行通信接口：1路，连接器采用DB9；</w:t>
            </w:r>
          </w:p>
          <w:p w14:paraId="57EA56CD">
            <w:pPr>
              <w:pStyle w:val="11"/>
              <w:numPr>
                <w:ilvl w:val="0"/>
                <w:numId w:val="3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面板指示灯：包含电源指示灯，系统工作状态指示灯，设备输出联锁信号指示灯，以及其他输入输出信号指示灯：保证有红绿黄三种颜色可自定义选择。</w:t>
            </w:r>
          </w:p>
          <w:p w14:paraId="5410E3CB">
            <w:pPr>
              <w:pStyle w:val="11"/>
              <w:numPr>
                <w:ilvl w:val="0"/>
                <w:numId w:val="3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联锁设备</w:t>
            </w:r>
            <w:r>
              <w:rPr>
                <w:rFonts w:hint="eastAsia" w:hAnsi="宋体"/>
                <w:bCs/>
                <w:szCs w:val="21"/>
              </w:rPr>
              <w:t>输出：该信号可以根据使用场景需求，选择不同的输出信号类型。</w:t>
            </w:r>
          </w:p>
          <w:p w14:paraId="3C06B742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附表1</w:t>
            </w:r>
          </w:p>
          <w:tbl>
            <w:tblPr>
              <w:tblStyle w:val="6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84"/>
              <w:gridCol w:w="2441"/>
              <w:gridCol w:w="2453"/>
            </w:tblGrid>
            <w:tr w14:paraId="055B885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5" w:hRule="atLeast"/>
                <w:jc w:val="center"/>
              </w:trPr>
              <w:tc>
                <w:tcPr>
                  <w:tcW w:w="584" w:type="dxa"/>
                </w:tcPr>
                <w:p w14:paraId="68B141E1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线序</w:t>
                  </w:r>
                </w:p>
              </w:tc>
              <w:tc>
                <w:tcPr>
                  <w:tcW w:w="2441" w:type="dxa"/>
                </w:tcPr>
                <w:p w14:paraId="73394BF2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信号名</w:t>
                  </w:r>
                </w:p>
              </w:tc>
              <w:tc>
                <w:tcPr>
                  <w:tcW w:w="2453" w:type="dxa"/>
                </w:tcPr>
                <w:p w14:paraId="782382BD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电平</w:t>
                  </w:r>
                </w:p>
              </w:tc>
            </w:tr>
            <w:tr w14:paraId="0D79103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5" w:hRule="atLeast"/>
                <w:jc w:val="center"/>
              </w:trPr>
              <w:tc>
                <w:tcPr>
                  <w:tcW w:w="584" w:type="dxa"/>
                </w:tcPr>
                <w:p w14:paraId="238B53CB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1</w:t>
                  </w:r>
                </w:p>
              </w:tc>
              <w:tc>
                <w:tcPr>
                  <w:tcW w:w="2441" w:type="dxa"/>
                </w:tcPr>
                <w:p w14:paraId="331A5DD3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电源</w:t>
                  </w:r>
                </w:p>
              </w:tc>
              <w:tc>
                <w:tcPr>
                  <w:tcW w:w="2453" w:type="dxa"/>
                </w:tcPr>
                <w:p w14:paraId="158E41A5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  <w:highlight w:val="yellow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+</w:t>
                  </w:r>
                  <w:r>
                    <w:rPr>
                      <w:bCs/>
                      <w:szCs w:val="21"/>
                    </w:rPr>
                    <w:t>12</w:t>
                  </w:r>
                  <w:r>
                    <w:rPr>
                      <w:rFonts w:hint="eastAsia"/>
                      <w:bCs/>
                      <w:szCs w:val="21"/>
                    </w:rPr>
                    <w:t>V</w:t>
                  </w:r>
                  <w:r>
                    <w:rPr>
                      <w:bCs/>
                      <w:szCs w:val="21"/>
                    </w:rPr>
                    <w:t>~+24</w:t>
                  </w:r>
                  <w:r>
                    <w:rPr>
                      <w:rFonts w:hint="eastAsia"/>
                      <w:bCs/>
                      <w:szCs w:val="21"/>
                    </w:rPr>
                    <w:t>V</w:t>
                  </w:r>
                </w:p>
              </w:tc>
            </w:tr>
            <w:tr w14:paraId="5C9D643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5" w:hRule="atLeast"/>
                <w:jc w:val="center"/>
              </w:trPr>
              <w:tc>
                <w:tcPr>
                  <w:tcW w:w="584" w:type="dxa"/>
                </w:tcPr>
                <w:p w14:paraId="786ED295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2</w:t>
                  </w:r>
                </w:p>
              </w:tc>
              <w:tc>
                <w:tcPr>
                  <w:tcW w:w="2441" w:type="dxa"/>
                </w:tcPr>
                <w:p w14:paraId="4E919377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流量/温度</w:t>
                  </w:r>
                </w:p>
              </w:tc>
              <w:tc>
                <w:tcPr>
                  <w:tcW w:w="2453" w:type="dxa"/>
                </w:tcPr>
                <w:p w14:paraId="41D3277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电流量4</w:t>
                  </w:r>
                  <w:r>
                    <w:rPr>
                      <w:bCs/>
                      <w:szCs w:val="21"/>
                    </w:rPr>
                    <w:t>~20</w:t>
                  </w:r>
                  <w:r>
                    <w:rPr>
                      <w:rFonts w:hint="eastAsia"/>
                      <w:bCs/>
                      <w:szCs w:val="21"/>
                    </w:rPr>
                    <w:t>m</w:t>
                  </w:r>
                  <w:r>
                    <w:rPr>
                      <w:bCs/>
                      <w:szCs w:val="21"/>
                    </w:rPr>
                    <w:t>A</w:t>
                  </w:r>
                </w:p>
              </w:tc>
            </w:tr>
            <w:tr w14:paraId="00E53DF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5" w:hRule="atLeast"/>
                <w:jc w:val="center"/>
              </w:trPr>
              <w:tc>
                <w:tcPr>
                  <w:tcW w:w="584" w:type="dxa"/>
                </w:tcPr>
                <w:p w14:paraId="1D1A21A5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3</w:t>
                  </w:r>
                </w:p>
              </w:tc>
              <w:tc>
                <w:tcPr>
                  <w:tcW w:w="2441" w:type="dxa"/>
                </w:tcPr>
                <w:p w14:paraId="0E8968FF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GND</w:t>
                  </w:r>
                </w:p>
              </w:tc>
              <w:tc>
                <w:tcPr>
                  <w:tcW w:w="2453" w:type="dxa"/>
                </w:tcPr>
                <w:p w14:paraId="488DBF00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参考地，0V</w:t>
                  </w:r>
                </w:p>
              </w:tc>
            </w:tr>
            <w:tr w14:paraId="2A7CC5D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2" w:hRule="atLeast"/>
                <w:jc w:val="center"/>
              </w:trPr>
              <w:tc>
                <w:tcPr>
                  <w:tcW w:w="584" w:type="dxa"/>
                </w:tcPr>
                <w:p w14:paraId="7586F3D6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4</w:t>
                  </w:r>
                </w:p>
              </w:tc>
              <w:tc>
                <w:tcPr>
                  <w:tcW w:w="2441" w:type="dxa"/>
                </w:tcPr>
                <w:p w14:paraId="5545410B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流量计状态输出</w:t>
                  </w:r>
                </w:p>
              </w:tc>
              <w:tc>
                <w:tcPr>
                  <w:tcW w:w="2453" w:type="dxa"/>
                </w:tcPr>
                <w:p w14:paraId="5CDD2261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开关量，N</w:t>
                  </w:r>
                  <w:r>
                    <w:rPr>
                      <w:bCs/>
                      <w:szCs w:val="21"/>
                    </w:rPr>
                    <w:t>PN</w:t>
                  </w:r>
                  <w:r>
                    <w:rPr>
                      <w:rFonts w:hint="eastAsia"/>
                      <w:bCs/>
                      <w:szCs w:val="21"/>
                    </w:rPr>
                    <w:t>型</w:t>
                  </w:r>
                </w:p>
              </w:tc>
            </w:tr>
          </w:tbl>
          <w:p w14:paraId="25772AC9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附表2</w:t>
            </w:r>
          </w:p>
          <w:tbl>
            <w:tblPr>
              <w:tblStyle w:val="6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80"/>
              <w:gridCol w:w="2423"/>
              <w:gridCol w:w="2437"/>
            </w:tblGrid>
            <w:tr w14:paraId="135ADBC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7" w:hRule="atLeast"/>
                <w:jc w:val="center"/>
              </w:trPr>
              <w:tc>
                <w:tcPr>
                  <w:tcW w:w="5440" w:type="dxa"/>
                  <w:gridSpan w:val="3"/>
                </w:tcPr>
                <w:p w14:paraId="6B861EDC">
                  <w:pPr>
                    <w:tabs>
                      <w:tab w:val="left" w:pos="6915"/>
                    </w:tabs>
                    <w:jc w:val="center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打火探测器输入接口</w:t>
                  </w:r>
                </w:p>
              </w:tc>
            </w:tr>
            <w:tr w14:paraId="3A658BE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3" w:hRule="atLeast"/>
                <w:jc w:val="center"/>
              </w:trPr>
              <w:tc>
                <w:tcPr>
                  <w:tcW w:w="580" w:type="dxa"/>
                </w:tcPr>
                <w:p w14:paraId="42A2A47F">
                  <w:pPr>
                    <w:tabs>
                      <w:tab w:val="left" w:pos="6915"/>
                    </w:tabs>
                    <w:jc w:val="left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线序</w:t>
                  </w:r>
                </w:p>
              </w:tc>
              <w:tc>
                <w:tcPr>
                  <w:tcW w:w="2423" w:type="dxa"/>
                </w:tcPr>
                <w:p w14:paraId="748D74D9">
                  <w:pPr>
                    <w:tabs>
                      <w:tab w:val="left" w:pos="6915"/>
                    </w:tabs>
                    <w:jc w:val="left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信号名</w:t>
                  </w:r>
                </w:p>
              </w:tc>
              <w:tc>
                <w:tcPr>
                  <w:tcW w:w="2437" w:type="dxa"/>
                </w:tcPr>
                <w:p w14:paraId="71C8AB6E">
                  <w:pPr>
                    <w:tabs>
                      <w:tab w:val="left" w:pos="6915"/>
                    </w:tabs>
                    <w:jc w:val="left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电平</w:t>
                  </w:r>
                </w:p>
              </w:tc>
            </w:tr>
            <w:tr w14:paraId="0368726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7" w:hRule="atLeast"/>
                <w:jc w:val="center"/>
              </w:trPr>
              <w:tc>
                <w:tcPr>
                  <w:tcW w:w="580" w:type="dxa"/>
                </w:tcPr>
                <w:p w14:paraId="1FAF274F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1</w:t>
                  </w:r>
                  <w:r>
                    <w:rPr>
                      <w:bCs/>
                      <w:szCs w:val="21"/>
                    </w:rPr>
                    <w:t>-8</w:t>
                  </w:r>
                </w:p>
              </w:tc>
              <w:tc>
                <w:tcPr>
                  <w:tcW w:w="2423" w:type="dxa"/>
                </w:tcPr>
                <w:p w14:paraId="1D83C16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打火探测器状态</w:t>
                  </w:r>
                </w:p>
              </w:tc>
              <w:tc>
                <w:tcPr>
                  <w:tcW w:w="2437" w:type="dxa"/>
                </w:tcPr>
                <w:p w14:paraId="629EDBF0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  <w:highlight w:val="yellow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T</w:t>
                  </w:r>
                  <w:r>
                    <w:rPr>
                      <w:bCs/>
                      <w:szCs w:val="21"/>
                    </w:rPr>
                    <w:t>TL</w:t>
                  </w:r>
                </w:p>
              </w:tc>
            </w:tr>
            <w:tr w14:paraId="1E5272B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7" w:hRule="atLeast"/>
                <w:jc w:val="center"/>
              </w:trPr>
              <w:tc>
                <w:tcPr>
                  <w:tcW w:w="580" w:type="dxa"/>
                </w:tcPr>
                <w:p w14:paraId="01220791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3</w:t>
                  </w:r>
                </w:p>
              </w:tc>
              <w:tc>
                <w:tcPr>
                  <w:tcW w:w="2423" w:type="dxa"/>
                </w:tcPr>
                <w:p w14:paraId="1188FED9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GND</w:t>
                  </w:r>
                </w:p>
              </w:tc>
              <w:tc>
                <w:tcPr>
                  <w:tcW w:w="2437" w:type="dxa"/>
                </w:tcPr>
                <w:p w14:paraId="4FA59503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参考地，0V</w:t>
                  </w:r>
                </w:p>
              </w:tc>
            </w:tr>
          </w:tbl>
          <w:p w14:paraId="5F9B7087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附表3</w:t>
            </w:r>
          </w:p>
          <w:tbl>
            <w:tblPr>
              <w:tblStyle w:val="6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10"/>
              <w:gridCol w:w="2548"/>
              <w:gridCol w:w="2562"/>
            </w:tblGrid>
            <w:tr w14:paraId="296C201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6" w:hRule="atLeast"/>
                <w:jc w:val="center"/>
              </w:trPr>
              <w:tc>
                <w:tcPr>
                  <w:tcW w:w="5720" w:type="dxa"/>
                  <w:gridSpan w:val="3"/>
                </w:tcPr>
                <w:p w14:paraId="4CB07B04">
                  <w:pPr>
                    <w:tabs>
                      <w:tab w:val="left" w:pos="6915"/>
                    </w:tabs>
                    <w:jc w:val="center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打火探测器输出接口</w:t>
                  </w:r>
                </w:p>
              </w:tc>
            </w:tr>
            <w:tr w14:paraId="234C3C2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6" w:hRule="atLeast"/>
                <w:jc w:val="center"/>
              </w:trPr>
              <w:tc>
                <w:tcPr>
                  <w:tcW w:w="610" w:type="dxa"/>
                </w:tcPr>
                <w:p w14:paraId="34191B0E">
                  <w:pPr>
                    <w:tabs>
                      <w:tab w:val="left" w:pos="6915"/>
                    </w:tabs>
                    <w:jc w:val="left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线序</w:t>
                  </w:r>
                </w:p>
              </w:tc>
              <w:tc>
                <w:tcPr>
                  <w:tcW w:w="2548" w:type="dxa"/>
                </w:tcPr>
                <w:p w14:paraId="422FC11A">
                  <w:pPr>
                    <w:tabs>
                      <w:tab w:val="left" w:pos="6915"/>
                    </w:tabs>
                    <w:jc w:val="left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信号名</w:t>
                  </w:r>
                </w:p>
              </w:tc>
              <w:tc>
                <w:tcPr>
                  <w:tcW w:w="2562" w:type="dxa"/>
                </w:tcPr>
                <w:p w14:paraId="3D0FD431">
                  <w:pPr>
                    <w:tabs>
                      <w:tab w:val="left" w:pos="6915"/>
                    </w:tabs>
                    <w:jc w:val="left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电平</w:t>
                  </w:r>
                </w:p>
              </w:tc>
            </w:tr>
            <w:tr w14:paraId="424A46B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6" w:hRule="atLeast"/>
                <w:jc w:val="center"/>
              </w:trPr>
              <w:tc>
                <w:tcPr>
                  <w:tcW w:w="610" w:type="dxa"/>
                </w:tcPr>
                <w:p w14:paraId="3EACBB00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1</w:t>
                  </w:r>
                </w:p>
              </w:tc>
              <w:tc>
                <w:tcPr>
                  <w:tcW w:w="2548" w:type="dxa"/>
                </w:tcPr>
                <w:p w14:paraId="038EBB22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测试信号</w:t>
                  </w:r>
                </w:p>
              </w:tc>
              <w:tc>
                <w:tcPr>
                  <w:tcW w:w="2562" w:type="dxa"/>
                </w:tcPr>
                <w:p w14:paraId="15ADA972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bookmarkStart w:id="2" w:name="OLE_LINK1"/>
                  <w:r>
                    <w:rPr>
                      <w:rFonts w:hint="eastAsia"/>
                      <w:bCs/>
                      <w:szCs w:val="21"/>
                    </w:rPr>
                    <w:t>T</w:t>
                  </w:r>
                  <w:r>
                    <w:rPr>
                      <w:bCs/>
                      <w:szCs w:val="21"/>
                    </w:rPr>
                    <w:t>TL</w:t>
                  </w:r>
                  <w:bookmarkEnd w:id="2"/>
                </w:p>
              </w:tc>
            </w:tr>
            <w:tr w14:paraId="37D0F90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6" w:hRule="atLeast"/>
                <w:jc w:val="center"/>
              </w:trPr>
              <w:tc>
                <w:tcPr>
                  <w:tcW w:w="610" w:type="dxa"/>
                </w:tcPr>
                <w:p w14:paraId="3686CAB2">
                  <w:pPr>
                    <w:tabs>
                      <w:tab w:val="left" w:pos="6915"/>
                    </w:tabs>
                    <w:jc w:val="left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2</w:t>
                  </w:r>
                </w:p>
              </w:tc>
              <w:tc>
                <w:tcPr>
                  <w:tcW w:w="2548" w:type="dxa"/>
                </w:tcPr>
                <w:p w14:paraId="6C1AD2B2">
                  <w:pPr>
                    <w:tabs>
                      <w:tab w:val="left" w:pos="6915"/>
                    </w:tabs>
                    <w:jc w:val="left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复位信号</w:t>
                  </w:r>
                </w:p>
              </w:tc>
              <w:tc>
                <w:tcPr>
                  <w:tcW w:w="2562" w:type="dxa"/>
                </w:tcPr>
                <w:p w14:paraId="5C11F42B">
                  <w:pPr>
                    <w:tabs>
                      <w:tab w:val="left" w:pos="6915"/>
                    </w:tabs>
                    <w:jc w:val="left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T</w:t>
                  </w:r>
                  <w:r>
                    <w:rPr>
                      <w:bCs/>
                      <w:szCs w:val="21"/>
                    </w:rPr>
                    <w:t>TL</w:t>
                  </w:r>
                </w:p>
              </w:tc>
            </w:tr>
            <w:tr w14:paraId="4C6BF74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6" w:hRule="atLeast"/>
                <w:jc w:val="center"/>
              </w:trPr>
              <w:tc>
                <w:tcPr>
                  <w:tcW w:w="610" w:type="dxa"/>
                </w:tcPr>
                <w:p w14:paraId="66EF42FC">
                  <w:pPr>
                    <w:tabs>
                      <w:tab w:val="left" w:pos="6915"/>
                    </w:tabs>
                    <w:jc w:val="left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3</w:t>
                  </w:r>
                  <w:r>
                    <w:rPr>
                      <w:bCs/>
                      <w:szCs w:val="21"/>
                    </w:rPr>
                    <w:t>-4</w:t>
                  </w:r>
                </w:p>
              </w:tc>
              <w:tc>
                <w:tcPr>
                  <w:tcW w:w="2548" w:type="dxa"/>
                </w:tcPr>
                <w:p w14:paraId="03E9A088">
                  <w:pPr>
                    <w:tabs>
                      <w:tab w:val="left" w:pos="6915"/>
                    </w:tabs>
                    <w:jc w:val="left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阈值选择</w:t>
                  </w:r>
                </w:p>
              </w:tc>
              <w:tc>
                <w:tcPr>
                  <w:tcW w:w="2562" w:type="dxa"/>
                </w:tcPr>
                <w:p w14:paraId="34C032DC">
                  <w:pPr>
                    <w:tabs>
                      <w:tab w:val="left" w:pos="6915"/>
                    </w:tabs>
                    <w:jc w:val="left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T</w:t>
                  </w:r>
                  <w:r>
                    <w:rPr>
                      <w:bCs/>
                      <w:szCs w:val="21"/>
                    </w:rPr>
                    <w:t>TL</w:t>
                  </w:r>
                </w:p>
              </w:tc>
            </w:tr>
            <w:tr w14:paraId="0AF5D3C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6" w:hRule="atLeast"/>
                <w:jc w:val="center"/>
              </w:trPr>
              <w:tc>
                <w:tcPr>
                  <w:tcW w:w="610" w:type="dxa"/>
                </w:tcPr>
                <w:p w14:paraId="64F9C145">
                  <w:pPr>
                    <w:tabs>
                      <w:tab w:val="left" w:pos="6915"/>
                    </w:tabs>
                    <w:jc w:val="left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5</w:t>
                  </w:r>
                  <w:r>
                    <w:rPr>
                      <w:bCs/>
                      <w:szCs w:val="21"/>
                    </w:rPr>
                    <w:t>-8</w:t>
                  </w:r>
                </w:p>
              </w:tc>
              <w:tc>
                <w:tcPr>
                  <w:tcW w:w="2548" w:type="dxa"/>
                </w:tcPr>
                <w:p w14:paraId="5C785E8A">
                  <w:pPr>
                    <w:tabs>
                      <w:tab w:val="left" w:pos="6915"/>
                    </w:tabs>
                    <w:jc w:val="left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通道选择</w:t>
                  </w:r>
                </w:p>
              </w:tc>
              <w:tc>
                <w:tcPr>
                  <w:tcW w:w="2562" w:type="dxa"/>
                </w:tcPr>
                <w:p w14:paraId="10CFB23F">
                  <w:pPr>
                    <w:tabs>
                      <w:tab w:val="left" w:pos="6915"/>
                    </w:tabs>
                    <w:jc w:val="left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T</w:t>
                  </w:r>
                  <w:r>
                    <w:rPr>
                      <w:bCs/>
                      <w:szCs w:val="21"/>
                    </w:rPr>
                    <w:t>TL</w:t>
                  </w:r>
                </w:p>
              </w:tc>
            </w:tr>
            <w:tr w14:paraId="0865C63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610" w:type="dxa"/>
                </w:tcPr>
                <w:p w14:paraId="13C98E26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9</w:t>
                  </w:r>
                </w:p>
              </w:tc>
              <w:tc>
                <w:tcPr>
                  <w:tcW w:w="2548" w:type="dxa"/>
                </w:tcPr>
                <w:p w14:paraId="365F0506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GND</w:t>
                  </w:r>
                </w:p>
              </w:tc>
              <w:tc>
                <w:tcPr>
                  <w:tcW w:w="2562" w:type="dxa"/>
                </w:tcPr>
                <w:p w14:paraId="76507A03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参考地，0V</w:t>
                  </w:r>
                </w:p>
              </w:tc>
            </w:tr>
          </w:tbl>
          <w:p w14:paraId="67B134B6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4"/>
              </w:rPr>
            </w:pPr>
            <w:bookmarkStart w:id="3" w:name="_Hlk168670545"/>
            <w:r>
              <w:rPr>
                <w:b/>
                <w:sz w:val="24"/>
              </w:rPr>
              <w:t>结构尺寸</w:t>
            </w:r>
            <w:r>
              <w:t>：标准</w:t>
            </w:r>
            <w:r>
              <w:rPr>
                <w:rFonts w:hint="eastAsia"/>
              </w:rPr>
              <w:t>2U机箱；</w:t>
            </w:r>
          </w:p>
          <w:bookmarkEnd w:id="3"/>
          <w:p w14:paraId="14402634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/>
                <w:b/>
                <w:sz w:val="24"/>
              </w:rPr>
              <w:t>其他要求</w:t>
            </w:r>
            <w:r>
              <w:rPr>
                <w:rFonts w:hint="eastAsia"/>
                <w:sz w:val="24"/>
              </w:rPr>
              <w:t>：</w:t>
            </w:r>
          </w:p>
          <w:p w14:paraId="7C064492">
            <w:pPr>
              <w:pStyle w:val="11"/>
              <w:numPr>
                <w:ilvl w:val="0"/>
                <w:numId w:val="4"/>
              </w:numPr>
              <w:ind w:firstLineChars="0"/>
            </w:pPr>
            <w:bookmarkStart w:id="4" w:name="_Hlk168670862"/>
            <w:r>
              <w:rPr>
                <w:rFonts w:hint="eastAsia"/>
              </w:rPr>
              <w:t>设备具有较强的抗电磁干扰能力；</w:t>
            </w:r>
          </w:p>
          <w:p w14:paraId="17819146">
            <w:pPr>
              <w:pStyle w:val="11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</w:rPr>
              <w:t>供电电源采用交流220V；</w:t>
            </w:r>
          </w:p>
          <w:p w14:paraId="60AEE433">
            <w:pPr>
              <w:pStyle w:val="11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</w:rPr>
              <w:t>工作温度：-40~+70℃；</w:t>
            </w:r>
          </w:p>
          <w:p w14:paraId="30755417">
            <w:pPr>
              <w:pStyle w:val="11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</w:rPr>
              <w:t>设备标识LOGO：新光源图标，以及名称：联锁保护模块；</w:t>
            </w:r>
          </w:p>
          <w:bookmarkEnd w:id="4"/>
          <w:p w14:paraId="3237222A">
            <w:pPr>
              <w:pStyle w:val="11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</w:rPr>
              <w:t>乙方向甲方提供全套设计图纸及软件源码；</w:t>
            </w:r>
          </w:p>
          <w:p w14:paraId="7A95EB0C">
            <w:pPr>
              <w:pStyle w:val="11"/>
              <w:numPr>
                <w:ilvl w:val="0"/>
                <w:numId w:val="4"/>
              </w:numPr>
              <w:ind w:firstLineChars="0"/>
            </w:pPr>
            <w:r>
              <w:rPr>
                <w:rFonts w:hint="eastAsia" w:hAnsi="宋体"/>
                <w:bCs/>
                <w:szCs w:val="21"/>
              </w:rPr>
              <w:t>提供软件定制化服务，</w:t>
            </w:r>
            <w:r>
              <w:rPr>
                <w:rFonts w:hint="eastAsia"/>
              </w:rPr>
              <w:t>配合系统调试；</w:t>
            </w:r>
          </w:p>
          <w:p w14:paraId="1EB9BC19">
            <w:pPr>
              <w:pStyle w:val="11"/>
              <w:numPr>
                <w:ilvl w:val="0"/>
                <w:numId w:val="4"/>
              </w:numPr>
              <w:ind w:firstLineChars="0"/>
              <w:rPr>
                <w:rFonts w:hint="eastAsia"/>
                <w:bCs/>
                <w:sz w:val="24"/>
              </w:rPr>
            </w:pPr>
            <w:r>
              <w:rPr>
                <w:rFonts w:hint="eastAsia"/>
              </w:rPr>
              <w:t>提供所有接口对应线缆一套，长度根据需求定制；所有接口线缆需为屏蔽线缆</w:t>
            </w:r>
            <w:r>
              <w:rPr>
                <w:rFonts w:hint="eastAsia"/>
                <w:lang w:eastAsia="zh-CN"/>
              </w:rPr>
              <w:t>。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E7B6F9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Ansi="宋体"/>
                <w:b/>
                <w:sz w:val="24"/>
              </w:rPr>
              <w:t>交货期：</w:t>
            </w:r>
            <w:r>
              <w:rPr>
                <w:rFonts w:hint="eastAsia" w:ascii="宋体" w:hAnsi="宋体"/>
                <w:szCs w:val="21"/>
              </w:rPr>
              <w:t>合同签订后3个月交付。</w:t>
            </w:r>
          </w:p>
          <w:p w14:paraId="27A4B66D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Ansi="宋体"/>
                <w:b/>
                <w:sz w:val="24"/>
              </w:rPr>
              <w:t>交付进度：</w:t>
            </w:r>
            <w:r>
              <w:rPr>
                <w:rFonts w:hint="eastAsia" w:ascii="宋体" w:hAnsi="宋体"/>
                <w:bCs/>
                <w:szCs w:val="21"/>
              </w:rPr>
              <w:t>交货期内整机交付。</w:t>
            </w:r>
          </w:p>
          <w:p w14:paraId="71ACD8A1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Ansi="宋体"/>
                <w:b/>
                <w:sz w:val="24"/>
              </w:rPr>
              <w:t>付款方式：</w:t>
            </w:r>
            <w:r>
              <w:rPr>
                <w:rFonts w:hint="eastAsia" w:ascii="宋体" w:hAnsi="宋体"/>
                <w:bCs/>
                <w:szCs w:val="21"/>
              </w:rPr>
              <w:t>合同签订后支付合同总价的3</w:t>
            </w:r>
            <w:r>
              <w:rPr>
                <w:rFonts w:ascii="宋体" w:hAnsi="宋体"/>
                <w:bCs/>
                <w:szCs w:val="21"/>
              </w:rPr>
              <w:t>0%</w:t>
            </w:r>
            <w:r>
              <w:rPr>
                <w:rFonts w:hint="eastAsia" w:ascii="宋体" w:hAnsi="宋体"/>
                <w:bCs/>
                <w:szCs w:val="21"/>
              </w:rPr>
              <w:t>；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货到且</w:t>
            </w:r>
            <w:r>
              <w:rPr>
                <w:rFonts w:hint="eastAsia" w:ascii="宋体" w:hAnsi="宋体"/>
                <w:bCs/>
                <w:szCs w:val="21"/>
              </w:rPr>
              <w:t>验收合格后支付合同总价的7</w:t>
            </w:r>
            <w:r>
              <w:rPr>
                <w:rFonts w:ascii="宋体" w:hAnsi="宋体"/>
                <w:bCs/>
                <w:szCs w:val="21"/>
              </w:rPr>
              <w:t>0%</w:t>
            </w:r>
            <w:r>
              <w:rPr>
                <w:rFonts w:hint="eastAsia" w:ascii="宋体" w:hAnsi="宋体"/>
                <w:bCs/>
                <w:szCs w:val="21"/>
              </w:rPr>
              <w:t>。</w:t>
            </w:r>
          </w:p>
          <w:p w14:paraId="0EFF8177">
            <w:pPr>
              <w:tabs>
                <w:tab w:val="left" w:pos="6915"/>
              </w:tabs>
              <w:jc w:val="left"/>
              <w:rPr>
                <w:b/>
                <w:sz w:val="24"/>
              </w:rPr>
            </w:pPr>
            <w:bookmarkStart w:id="5" w:name="_Hlk168671458"/>
            <w:r>
              <w:rPr>
                <w:rFonts w:hAnsi="宋体"/>
                <w:b/>
                <w:sz w:val="24"/>
              </w:rPr>
              <w:t>验收指标及验收要求</w:t>
            </w:r>
            <w:bookmarkEnd w:id="5"/>
            <w:r>
              <w:rPr>
                <w:rFonts w:hAnsi="宋体"/>
                <w:b/>
                <w:sz w:val="24"/>
              </w:rPr>
              <w:t>：</w:t>
            </w:r>
          </w:p>
          <w:p w14:paraId="7B167823">
            <w:pPr>
              <w:pStyle w:val="11"/>
              <w:numPr>
                <w:ilvl w:val="0"/>
                <w:numId w:val="5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/>
              </w:rPr>
              <w:t>模拟电压采样率：</w:t>
            </w:r>
            <w:bookmarkStart w:id="6" w:name="_Hlk168671510"/>
            <w:r>
              <w:rPr>
                <w:rFonts w:hint="eastAsia"/>
              </w:rPr>
              <w:t>≥1MSaps，16bit</w:t>
            </w:r>
            <w:bookmarkEnd w:id="6"/>
            <w:r>
              <w:rPr>
                <w:rFonts w:hint="eastAsia"/>
              </w:rPr>
              <w:t>，输入电压测试按照-</w:t>
            </w:r>
            <w:r>
              <w:t>1</w:t>
            </w:r>
            <w:r>
              <w:rPr>
                <w:rFonts w:hint="eastAsia"/>
              </w:rPr>
              <w:t>0~+10V执行；联锁响应时间&lt;</w:t>
            </w:r>
            <w:r>
              <w:t>25us</w:t>
            </w:r>
            <w:r>
              <w:rPr>
                <w:rFonts w:hint="eastAsia"/>
              </w:rPr>
              <w:t>；</w:t>
            </w:r>
          </w:p>
          <w:p w14:paraId="280BC29D">
            <w:pPr>
              <w:pStyle w:val="11"/>
              <w:numPr>
                <w:ilvl w:val="0"/>
                <w:numId w:val="5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/>
              </w:rPr>
              <w:t>温度采集：输入电温度测试按照</w:t>
            </w:r>
            <w:r>
              <w:rPr>
                <w:rFonts w:hint="eastAsia"/>
                <w:szCs w:val="21"/>
              </w:rPr>
              <w:t>-40~+70</w:t>
            </w:r>
            <w:r>
              <w:rPr>
                <w:szCs w:val="21"/>
              </w:rPr>
              <w:t>℃</w:t>
            </w:r>
            <w:r>
              <w:rPr>
                <w:rFonts w:hint="eastAsia"/>
              </w:rPr>
              <w:t>执行；联锁响应时间&lt;20ms；</w:t>
            </w:r>
          </w:p>
          <w:p w14:paraId="6635CA17">
            <w:pPr>
              <w:pStyle w:val="11"/>
              <w:numPr>
                <w:ilvl w:val="0"/>
                <w:numId w:val="5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/>
              </w:rPr>
              <w:t>流量采集：</w:t>
            </w:r>
            <w:r>
              <w:rPr>
                <w:rFonts w:hAnsi="宋体"/>
                <w:bCs/>
                <w:szCs w:val="21"/>
              </w:rPr>
              <w:t>输入模拟量信号测试按照</w:t>
            </w:r>
            <w:r>
              <w:rPr>
                <w:bCs/>
                <w:szCs w:val="21"/>
              </w:rPr>
              <w:t>4-20mA</w:t>
            </w:r>
            <w:r>
              <w:rPr>
                <w:rFonts w:hAnsi="宋体"/>
                <w:bCs/>
                <w:szCs w:val="21"/>
              </w:rPr>
              <w:t>电流</w:t>
            </w:r>
            <w:r>
              <w:rPr>
                <w:rFonts w:hint="eastAsia"/>
              </w:rPr>
              <w:t>执行；联锁响应时间&lt;</w:t>
            </w:r>
            <w:r>
              <w:t>25us</w:t>
            </w:r>
            <w:r>
              <w:rPr>
                <w:rFonts w:hint="eastAsia"/>
              </w:rPr>
              <w:t>；</w:t>
            </w:r>
          </w:p>
          <w:p w14:paraId="3896B204">
            <w:pPr>
              <w:pStyle w:val="11"/>
              <w:numPr>
                <w:ilvl w:val="0"/>
                <w:numId w:val="5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/>
              </w:rPr>
              <w:t>开关量：输入信号接开关量输出设备进行测试；输出信号接开关量输入设备进行测试；联锁响应时间</w:t>
            </w:r>
            <w:r>
              <w:t>&lt;3us</w:t>
            </w:r>
            <w:r>
              <w:rPr>
                <w:rFonts w:hint="eastAsia"/>
              </w:rPr>
              <w:t>；</w:t>
            </w:r>
          </w:p>
          <w:p w14:paraId="08381F3E">
            <w:pPr>
              <w:pStyle w:val="11"/>
              <w:numPr>
                <w:ilvl w:val="0"/>
                <w:numId w:val="5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/>
              </w:rPr>
              <w:t>OC门：输入信号接OC门输出设备进行测试；输出信号接OC门输入设备进行测试；联锁响应时间&lt;</w:t>
            </w:r>
            <w:r>
              <w:t>3us</w:t>
            </w:r>
            <w:r>
              <w:rPr>
                <w:rFonts w:hint="eastAsia"/>
              </w:rPr>
              <w:t>；</w:t>
            </w:r>
          </w:p>
          <w:p w14:paraId="6C13548E">
            <w:pPr>
              <w:pStyle w:val="11"/>
              <w:numPr>
                <w:ilvl w:val="0"/>
                <w:numId w:val="5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/>
              </w:rPr>
              <w:t>TTL信号：输入信号接TTL输出设备进行测试；输出信号接TTL输入设备进行测试；联锁响应时间&lt;</w:t>
            </w:r>
            <w:r>
              <w:t>0.5us</w:t>
            </w:r>
            <w:r>
              <w:rPr>
                <w:rFonts w:hint="eastAsia"/>
              </w:rPr>
              <w:t>；</w:t>
            </w:r>
          </w:p>
          <w:p w14:paraId="3C9FACEB">
            <w:pPr>
              <w:pStyle w:val="11"/>
              <w:numPr>
                <w:ilvl w:val="0"/>
                <w:numId w:val="5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/>
              </w:rPr>
              <w:t>通信网络信号：进行UDP协议，按照Jumbo帧进行测试；</w:t>
            </w:r>
          </w:p>
          <w:p w14:paraId="54B98B69">
            <w:pPr>
              <w:pStyle w:val="11"/>
              <w:numPr>
                <w:ilvl w:val="0"/>
                <w:numId w:val="5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/>
              </w:rPr>
              <w:t>通信串口信号：按照波特率115200bps，进行串口测试；</w:t>
            </w:r>
          </w:p>
          <w:p w14:paraId="6B755CE5">
            <w:pPr>
              <w:pStyle w:val="11"/>
              <w:numPr>
                <w:ilvl w:val="0"/>
                <w:numId w:val="5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</w:rPr>
              <w:t>射频开关：联锁控制至射频信号断开响应时间&lt;</w:t>
            </w:r>
            <w:r>
              <w:t>1</w:t>
            </w:r>
            <w:r>
              <w:rPr>
                <w:rFonts w:hint="eastAsia"/>
              </w:rPr>
              <w:t>0</w:t>
            </w:r>
            <w:r>
              <w:t>us</w:t>
            </w:r>
            <w:r>
              <w:rPr>
                <w:rFonts w:hint="eastAsia"/>
              </w:rPr>
              <w:t>；</w:t>
            </w:r>
          </w:p>
          <w:p w14:paraId="1079A8D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265000E0">
            <w:pPr>
              <w:tabs>
                <w:tab w:val="left" w:pos="6915"/>
              </w:tabs>
              <w:ind w:firstLine="420" w:firstLineChars="20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提供1年的免费保修（含人工费和零配件费用），</w:t>
            </w:r>
            <w:bookmarkStart w:id="7" w:name="_Hlk168672430"/>
            <w:r>
              <w:rPr>
                <w:rFonts w:hint="eastAsia" w:ascii="宋体" w:hAnsi="宋体"/>
                <w:bCs/>
                <w:szCs w:val="21"/>
              </w:rPr>
              <w:t>保修期自仪器验收签字之日算起，保修期内因质量问题而导致仪器停用的时间应从保修期中扣除。</w:t>
            </w:r>
            <w:bookmarkEnd w:id="7"/>
          </w:p>
          <w:p w14:paraId="663E5C00">
            <w:pPr>
              <w:tabs>
                <w:tab w:val="left" w:pos="6915"/>
              </w:tabs>
              <w:ind w:firstLine="420" w:firstLineChars="200"/>
              <w:jc w:val="left"/>
              <w:rPr>
                <w:rFonts w:ascii="宋体" w:hAnsi="宋体"/>
                <w:bCs/>
                <w:szCs w:val="21"/>
              </w:rPr>
            </w:pPr>
            <w:bookmarkStart w:id="8" w:name="_Hlk168672409"/>
            <w:r>
              <w:rPr>
                <w:rFonts w:hint="eastAsia" w:ascii="宋体" w:hAnsi="宋体"/>
                <w:bCs/>
                <w:szCs w:val="21"/>
              </w:rPr>
              <w:t>乙方应在接到报修通知后</w:t>
            </w:r>
            <w:r>
              <w:rPr>
                <w:rFonts w:ascii="宋体" w:hAnsi="宋体"/>
                <w:bCs/>
                <w:szCs w:val="21"/>
              </w:rPr>
              <w:t>24</w:t>
            </w:r>
            <w:r>
              <w:rPr>
                <w:rFonts w:hint="eastAsia" w:ascii="宋体" w:hAnsi="宋体"/>
                <w:bCs/>
                <w:szCs w:val="21"/>
              </w:rPr>
              <w:t>小时内响应，</w:t>
            </w:r>
            <w:r>
              <w:rPr>
                <w:rFonts w:ascii="宋体" w:hAnsi="宋体"/>
                <w:bCs/>
                <w:szCs w:val="21"/>
              </w:rPr>
              <w:t>48</w:t>
            </w:r>
            <w:r>
              <w:rPr>
                <w:rFonts w:hint="eastAsia" w:ascii="宋体" w:hAnsi="宋体"/>
                <w:bCs/>
                <w:szCs w:val="21"/>
              </w:rPr>
              <w:t>小时内派技术人员到达现场，</w:t>
            </w:r>
            <w:r>
              <w:rPr>
                <w:rFonts w:ascii="宋体" w:hAnsi="宋体"/>
                <w:bCs/>
                <w:szCs w:val="21"/>
              </w:rPr>
              <w:t>72</w:t>
            </w:r>
            <w:r>
              <w:rPr>
                <w:rFonts w:hint="eastAsia" w:ascii="宋体" w:hAnsi="宋体"/>
                <w:bCs/>
                <w:szCs w:val="21"/>
              </w:rPr>
              <w:t>小时之内排除故障；需要更换设备或配件的应在</w:t>
            </w:r>
            <w:r>
              <w:rPr>
                <w:rFonts w:ascii="宋体" w:hAnsi="宋体"/>
                <w:bCs/>
                <w:szCs w:val="21"/>
              </w:rPr>
              <w:t>10</w:t>
            </w:r>
            <w:r>
              <w:rPr>
                <w:rFonts w:hint="eastAsia" w:ascii="宋体" w:hAnsi="宋体"/>
                <w:bCs/>
                <w:szCs w:val="21"/>
              </w:rPr>
              <w:t>日内修复（从甲方提出现场服务要求之日开始算起），</w:t>
            </w:r>
            <w:r>
              <w:rPr>
                <w:rFonts w:ascii="宋体" w:hAnsi="宋体"/>
                <w:bCs/>
                <w:szCs w:val="21"/>
              </w:rPr>
              <w:t>10</w:t>
            </w:r>
            <w:r>
              <w:rPr>
                <w:rFonts w:hint="eastAsia" w:ascii="宋体" w:hAnsi="宋体"/>
                <w:bCs/>
                <w:szCs w:val="21"/>
              </w:rPr>
              <w:t>日内不能修复的须及时免费提供备用设备。更换后的零部件如尚在整机保修期内，将继续随整机保修，若维修部件自修复之日起距整机免费保修期结束不足3个月，维修时所更换部件的保修期限延长至修复之日起3个月止。</w:t>
            </w:r>
          </w:p>
          <w:bookmarkEnd w:id="8"/>
          <w:p w14:paraId="4741E1C4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bookmarkStart w:id="9" w:name="_GoBack"/>
            <w:bookmarkEnd w:id="9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FB40EF"/>
    <w:multiLevelType w:val="multilevel"/>
    <w:tmpl w:val="16FB40EF"/>
    <w:lvl w:ilvl="0" w:tentative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17456211"/>
    <w:multiLevelType w:val="multilevel"/>
    <w:tmpl w:val="17456211"/>
    <w:lvl w:ilvl="0" w:tentative="0">
      <w:start w:val="1"/>
      <w:numFmt w:val="decimal"/>
      <w:suff w:val="nothing"/>
      <w:lvlText w:val="（%1）"/>
      <w:lvlJc w:val="left"/>
      <w:pPr>
        <w:ind w:left="360" w:hanging="360"/>
      </w:pPr>
      <w:rPr>
        <w:rFonts w:hint="eastAsia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66703C"/>
    <w:multiLevelType w:val="multilevel"/>
    <w:tmpl w:val="3066703C"/>
    <w:lvl w:ilvl="0" w:tentative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  <w:b w:val="0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352C0B5B"/>
    <w:multiLevelType w:val="multilevel"/>
    <w:tmpl w:val="352C0B5B"/>
    <w:lvl w:ilvl="0" w:tentative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C66781B"/>
    <w:multiLevelType w:val="multilevel"/>
    <w:tmpl w:val="5C66781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24FF7627"/>
    <w:rsid w:val="251E174D"/>
    <w:rsid w:val="29DB52A4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1278</Words>
  <Characters>1418</Characters>
  <Lines>6</Lines>
  <Paragraphs>1</Paragraphs>
  <TotalTime>0</TotalTime>
  <ScaleCrop>false</ScaleCrop>
  <LinksUpToDate>false</LinksUpToDate>
  <CharactersWithSpaces>1458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2026-03-09T09:28:05Z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