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恒温水冷机</w:t>
            </w:r>
            <w:bookmarkStart w:id="3" w:name="_GoBack"/>
            <w:bookmarkEnd w:id="3"/>
            <w:r>
              <w:rPr>
                <w:rFonts w:hint="eastAsia" w:cs="宋体"/>
                <w:bCs/>
                <w:shd w:val="clear" w:color="auto" w:fill="FFFFFF"/>
                <w:lang w:bidi="ar"/>
              </w:rPr>
              <w:t>柜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651E6D">
            <w:pPr>
              <w:tabs>
                <w:tab w:val="left" w:pos="6915"/>
              </w:tabs>
              <w:jc w:val="left"/>
              <w:rPr>
                <w:kern w:val="0"/>
                <w:szCs w:val="21"/>
                <w:shd w:val="clear" w:color="auto" w:fill="FFFFFF"/>
                <w:lang w:bidi="ar"/>
              </w:rPr>
            </w:pPr>
            <w:bookmarkStart w:id="0" w:name="OLE_LINK2"/>
            <w:r>
              <w:rPr>
                <w:rFonts w:hint="eastAsia"/>
                <w:b/>
                <w:bCs/>
                <w:kern w:val="0"/>
                <w:szCs w:val="21"/>
                <w:shd w:val="clear" w:color="auto" w:fill="FFFFFF"/>
                <w:lang w:bidi="ar"/>
              </w:rPr>
              <w:t>机柜尺寸：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机柜为标准19英寸机柜，宽800mm，深1000mm，高不小于2000mm，机柜内部空间不小于42U，设备安装空间不小于37U；</w:t>
            </w:r>
          </w:p>
          <w:p w14:paraId="5BFCCA0F">
            <w:pPr>
              <w:tabs>
                <w:tab w:val="left" w:pos="6915"/>
              </w:tabs>
              <w:jc w:val="left"/>
              <w:rPr>
                <w:rFonts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承载要求：静态承载能力≥1500kg，动态承载能力≥800kg（须提供第三方检测报告并加盖公章）；</w:t>
            </w:r>
          </w:p>
          <w:p w14:paraId="2E6CC208">
            <w:pPr>
              <w:tabs>
                <w:tab w:val="left" w:pos="6915"/>
              </w:tabs>
              <w:jc w:val="left"/>
              <w:rPr>
                <w:rFonts w:cs="宋体"/>
                <w:b/>
                <w:shd w:val="clear" w:color="auto" w:fill="FFFFFF"/>
                <w:lang w:bidi="ar"/>
              </w:rPr>
            </w:pPr>
            <w:r>
              <w:rPr>
                <w:rFonts w:hint="eastAsia" w:cs="宋体"/>
                <w:b/>
                <w:shd w:val="clear" w:color="auto" w:fill="FFFFFF"/>
                <w:lang w:bidi="ar"/>
              </w:rPr>
              <w:t>组件需求：</w:t>
            </w:r>
          </w:p>
          <w:p w14:paraId="2B3F69EE">
            <w:pPr>
              <w:tabs>
                <w:tab w:val="left" w:pos="6915"/>
              </w:tabs>
              <w:jc w:val="left"/>
              <w:rPr>
                <w:rFonts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标准组件：主体框架、四根角轨、前后单开钢板门、侧板、顶板、底板、PDU挂板、挡风板，顶底板须预留穿线口，底板可拆卸，以便于下进线。机柜内侧安装隔热保温棉，材质要求低燃无卤（需提供第三方检测报告并加盖公章）。</w:t>
            </w:r>
          </w:p>
          <w:p w14:paraId="3ACFAA33">
            <w:pPr>
              <w:tabs>
                <w:tab w:val="left" w:pos="6915"/>
              </w:tabs>
              <w:jc w:val="left"/>
              <w:rPr>
                <w:rFonts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托盘：配置不低于50kg托盘10组，配套紧固件。</w:t>
            </w:r>
          </w:p>
          <w:p w14:paraId="4BC13F18">
            <w:pPr>
              <w:tabs>
                <w:tab w:val="left" w:pos="6915"/>
              </w:tabs>
              <w:jc w:val="left"/>
              <w:rPr>
                <w:rFonts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阻燃盲板：1U阻燃盲板20个，配套紧固件。</w:t>
            </w:r>
          </w:p>
          <w:p w14:paraId="4F9E4A05">
            <w:pPr>
              <w:tabs>
                <w:tab w:val="left" w:pos="6915"/>
              </w:tabs>
              <w:jc w:val="left"/>
              <w:rPr>
                <w:rFonts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线槽：两侧竖向各 1 根，配套紧固件。</w:t>
            </w:r>
          </w:p>
          <w:p w14:paraId="068A748B">
            <w:pPr>
              <w:tabs>
                <w:tab w:val="left" w:pos="6915"/>
              </w:tabs>
              <w:jc w:val="left"/>
              <w:rPr>
                <w:rFonts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理线架：4件。</w:t>
            </w:r>
          </w:p>
          <w:p w14:paraId="08A599FE">
            <w:pPr>
              <w:tabs>
                <w:tab w:val="left" w:pos="6915"/>
              </w:tabs>
              <w:jc w:val="left"/>
              <w:rPr>
                <w:rFonts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底座：机柜带200mm高底座,（机柜厂商提供机柜底座尺寸及底座安装螺栓孔尺寸），配置拼柜组件。</w:t>
            </w:r>
          </w:p>
          <w:p w14:paraId="5411602B">
            <w:pPr>
              <w:tabs>
                <w:tab w:val="left" w:pos="6915"/>
              </w:tabs>
              <w:jc w:val="left"/>
              <w:rPr>
                <w:rFonts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接地：机柜内设置接地排，柜体与接地排良好接地，支持与所在设备间接地环网连接。</w:t>
            </w:r>
          </w:p>
          <w:p w14:paraId="39A3229F">
            <w:pPr>
              <w:tabs>
                <w:tab w:val="left" w:pos="6915"/>
              </w:tabs>
              <w:jc w:val="left"/>
              <w:rPr>
                <w:rFonts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恒温组件：</w:t>
            </w:r>
          </w:p>
          <w:p w14:paraId="4273EECD">
            <w:pPr>
              <w:tabs>
                <w:tab w:val="left" w:pos="6915"/>
              </w:tabs>
              <w:jc w:val="left"/>
              <w:rPr>
                <w:rFonts w:cs="宋体"/>
                <w:bCs/>
                <w:shd w:val="clear" w:color="auto" w:fill="FFFFFF"/>
                <w:lang w:bidi="ar"/>
              </w:rPr>
            </w:pPr>
            <w:bookmarkStart w:id="1" w:name="OLE_LINK6"/>
            <w:r>
              <w:rPr>
                <w:rFonts w:hint="eastAsia" w:cs="宋体"/>
                <w:bCs/>
                <w:shd w:val="clear" w:color="auto" w:fill="FFFFFF"/>
                <w:lang w:bidi="ar"/>
              </w:rPr>
              <w:t>在内部运行设备发热功率不大于1kW，冷却水供水温</w:t>
            </w:r>
            <w:r>
              <w:rPr>
                <w:rFonts w:hint="eastAsia" w:cs="宋体"/>
                <w:bCs/>
                <w:color w:val="000000" w:themeColor="text1"/>
                <w:shd w:val="clear" w:color="auto" w:fill="FFFFFF"/>
                <w:lang w:bidi="ar"/>
                <w14:textFill>
                  <w14:solidFill>
                    <w14:schemeClr w14:val="tx1"/>
                  </w14:solidFill>
                </w14:textFill>
              </w:rPr>
              <w:t>度波动不超过</w:t>
            </w:r>
            <w:r>
              <w:rPr>
                <w:rFonts w:hint="eastAsia" w:cs="宋体"/>
                <w:bCs/>
                <w:shd w:val="clear" w:color="auto" w:fill="FFFFFF"/>
                <w:lang w:bidi="ar"/>
              </w:rPr>
              <w:t>±0.1℃，且进水量</w:t>
            </w:r>
            <w:r>
              <w:rPr>
                <w:rFonts w:cs="宋体"/>
                <w:bCs/>
                <w:shd w:val="clear" w:color="auto" w:fill="FFFFFF"/>
                <w:lang w:bidi="ar"/>
              </w:rPr>
              <w:t>控制在0.6 m³/h至1 m³/h范围内的条件下</w:t>
            </w:r>
            <w:r>
              <w:rPr>
                <w:rFonts w:hint="eastAsia" w:cs="宋体"/>
                <w:bCs/>
                <w:shd w:val="clear" w:color="auto" w:fill="FFFFFF"/>
                <w:lang w:bidi="ar"/>
              </w:rPr>
              <w:t>，机柜在稳定运行时内外表面温度恒定，机柜内温度波动需控制在±0.1℃以内。</w:t>
            </w:r>
          </w:p>
          <w:bookmarkEnd w:id="1"/>
          <w:p w14:paraId="749CFB6C">
            <w:pPr>
              <w:tabs>
                <w:tab w:val="left" w:pos="6915"/>
              </w:tabs>
              <w:jc w:val="left"/>
              <w:rPr>
                <w:rFonts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机柜内外不通风，采用空气/水热交换机。机柜冷却水耐压≥1MPa, 压降损失≤0.3MPa，最大水流量≥1 m³/h。</w:t>
            </w:r>
          </w:p>
          <w:p w14:paraId="3118DC3E">
            <w:pPr>
              <w:tabs>
                <w:tab w:val="left" w:pos="6915"/>
              </w:tabs>
              <w:jc w:val="left"/>
              <w:rPr>
                <w:rFonts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机柜控制通讯接口采用以太网接口。控制界面上能读写机柜运行状态、风扇状态，读取柜内温度、机柜前后门开启关闭状态等信息。</w:t>
            </w:r>
          </w:p>
          <w:p w14:paraId="01948434">
            <w:pPr>
              <w:tabs>
                <w:tab w:val="left" w:pos="6915"/>
              </w:tabs>
              <w:jc w:val="left"/>
              <w:rPr>
                <w:rFonts w:hint="eastAsia"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机柜颜色：RAL9004</w:t>
            </w:r>
          </w:p>
          <w:p w14:paraId="35708354">
            <w:pPr>
              <w:tabs>
                <w:tab w:val="left" w:pos="6915"/>
              </w:tabs>
              <w:jc w:val="left"/>
              <w:rPr>
                <w:rFonts w:hint="eastAsia"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数量：22</w:t>
            </w:r>
            <w:bookmarkEnd w:id="0"/>
          </w:p>
          <w:p w14:paraId="4852445C">
            <w:pPr>
              <w:tabs>
                <w:tab w:val="left" w:pos="6915"/>
              </w:tabs>
              <w:jc w:val="left"/>
              <w:rPr>
                <w:rFonts w:hint="eastAsia" w:cs="宋体"/>
                <w:bCs/>
                <w:shd w:val="clear" w:color="auto" w:fill="FFFFFF"/>
                <w:lang w:bidi="ar"/>
              </w:rPr>
            </w:pPr>
            <w:r>
              <w:rPr>
                <w:rFonts w:hint="eastAsia" w:cs="宋体"/>
                <w:bCs/>
                <w:shd w:val="clear" w:color="auto" w:fill="FFFFFF"/>
                <w:lang w:bidi="ar"/>
              </w:rPr>
              <w:t>安装需求：</w:t>
            </w:r>
          </w:p>
          <w:p w14:paraId="42BD7FD1">
            <w:pPr>
              <w:tabs>
                <w:tab w:val="left" w:pos="6915"/>
              </w:tabs>
              <w:jc w:val="left"/>
              <w:rPr>
                <w:rFonts w:hint="eastAsia" w:cs="宋体"/>
                <w:bCs/>
                <w:shd w:val="clear" w:color="auto" w:fill="FFFFFF"/>
                <w:lang w:bidi="ar"/>
              </w:rPr>
            </w:pPr>
            <w:bookmarkStart w:id="2" w:name="OLE_LINK1"/>
            <w:r>
              <w:rPr>
                <w:rFonts w:hint="eastAsia" w:cs="宋体"/>
                <w:bCs/>
                <w:shd w:val="clear" w:color="auto" w:fill="FFFFFF"/>
                <w:lang w:bidi="ar"/>
              </w:rPr>
              <w:t>供应商需按照项目方要求配合完成机柜安装及内部线缆（电源线、信号线、网线、光纤）连接工作。要求线缆布放整齐、捆扎牢固、标签清晰。</w:t>
            </w:r>
            <w:bookmarkEnd w:id="2"/>
          </w:p>
          <w:p w14:paraId="0E05648A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1F50F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合同签订后5个月内将货物送达至甲方指定地点</w:t>
            </w:r>
          </w:p>
          <w:p w14:paraId="7B169288">
            <w:pPr>
              <w:tabs>
                <w:tab w:val="left" w:pos="6915"/>
              </w:tabs>
              <w:jc w:val="left"/>
              <w:rPr>
                <w:rFonts w:hint="eastAsia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合同签订后付款30%，货到验收后付款60%，完成机柜安装及内部线缆连接后，凭发票报销时付尾款。</w:t>
            </w:r>
          </w:p>
          <w:p w14:paraId="46CE2D62">
            <w:pPr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/>
                <w:szCs w:val="21"/>
                <w:lang w:val="en-US" w:eastAsia="zh-CN"/>
              </w:rPr>
              <w:t>尺寸及承载要求提供检测报告，组件数量开箱验收确认，恒温组件耐压及压降损失需提供出厂测试报告，温度稳定性需进行现场测试验收。</w:t>
            </w:r>
          </w:p>
          <w:p w14:paraId="0E6182FA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24  </w:t>
            </w:r>
            <w:r>
              <w:rPr>
                <w:rFonts w:hint="eastAsia"/>
                <w:szCs w:val="21"/>
              </w:rPr>
              <w:t>个月，时间自验收合格之日起计算，或者按厂家国家通常三包质保和售后，以两个时间中更长的时间质保。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668D654E"/>
    <w:rsid w:val="7F1F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2026-04-22T09:44:14Z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