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098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1143"/>
        <w:gridCol w:w="5743"/>
        <w:gridCol w:w="1464"/>
        <w:gridCol w:w="1023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72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143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743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64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23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4" w:hRule="atLeast"/>
        </w:trPr>
        <w:tc>
          <w:tcPr>
            <w:tcW w:w="72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快门</w:t>
            </w:r>
          </w:p>
        </w:tc>
        <w:tc>
          <w:tcPr>
            <w:tcW w:w="57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62F1B3F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采购2套X射线快门，配合成像和散射探测器使用，减小X射线对样品的辐照损伤。</w:t>
            </w:r>
          </w:p>
          <w:p w14:paraId="2E84D032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主要指标要求:</w:t>
            </w:r>
          </w:p>
          <w:tbl>
            <w:tblPr>
              <w:tblStyle w:val="6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008"/>
              <w:gridCol w:w="2509"/>
            </w:tblGrid>
            <w:tr w14:paraId="1F94932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115" w:type="dxa"/>
                </w:tcPr>
                <w:p w14:paraId="0C92A145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 xml:space="preserve">  适用的X射线能区</w:t>
                  </w:r>
                </w:p>
              </w:tc>
              <w:tc>
                <w:tcPr>
                  <w:tcW w:w="3698" w:type="dxa"/>
                </w:tcPr>
                <w:p w14:paraId="704198EC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0.25keV-12keV</w:t>
                  </w:r>
                </w:p>
              </w:tc>
            </w:tr>
            <w:tr w14:paraId="408CE59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115" w:type="dxa"/>
                </w:tcPr>
                <w:p w14:paraId="21DE8ECC">
                  <w:pPr>
                    <w:tabs>
                      <w:tab w:val="left" w:pos="6915"/>
                    </w:tabs>
                    <w:ind w:firstLine="210" w:firstLineChars="100"/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开合时间（</w:t>
                  </w:r>
                  <w:r>
                    <w:rPr>
                      <w:bCs/>
                      <w:szCs w:val="21"/>
                    </w:rPr>
                    <w:t>Aperture &amp; closing time</w:t>
                  </w:r>
                  <w:r>
                    <w:rPr>
                      <w:rFonts w:hint="eastAsia"/>
                      <w:bCs/>
                      <w:szCs w:val="21"/>
                    </w:rPr>
                    <w:t>）</w:t>
                  </w:r>
                </w:p>
              </w:tc>
              <w:tc>
                <w:tcPr>
                  <w:tcW w:w="3698" w:type="dxa"/>
                </w:tcPr>
                <w:p w14:paraId="7218E818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≤10ms</w:t>
                  </w:r>
                </w:p>
              </w:tc>
            </w:tr>
            <w:tr w14:paraId="55EBD6A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4" w:hRule="atLeast"/>
                <w:jc w:val="center"/>
              </w:trPr>
              <w:tc>
                <w:tcPr>
                  <w:tcW w:w="5115" w:type="dxa"/>
                </w:tcPr>
                <w:p w14:paraId="784FC776">
                  <w:pPr>
                    <w:tabs>
                      <w:tab w:val="left" w:pos="6915"/>
                    </w:tabs>
                    <w:ind w:firstLine="210" w:firstLineChars="100"/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通光孔径（</w:t>
                  </w:r>
                  <w:r>
                    <w:rPr>
                      <w:bCs/>
                      <w:szCs w:val="21"/>
                    </w:rPr>
                    <w:t>Max. beam diameter</w:t>
                  </w:r>
                  <w:r>
                    <w:rPr>
                      <w:rFonts w:hint="eastAsia"/>
                      <w:bCs/>
                      <w:szCs w:val="21"/>
                    </w:rPr>
                    <w:t>）</w:t>
                  </w:r>
                </w:p>
              </w:tc>
              <w:tc>
                <w:tcPr>
                  <w:tcW w:w="3698" w:type="dxa"/>
                </w:tcPr>
                <w:p w14:paraId="27A3E744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≥3mm</w:t>
                  </w:r>
                </w:p>
              </w:tc>
            </w:tr>
            <w:tr w14:paraId="725D8BC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115" w:type="dxa"/>
                </w:tcPr>
                <w:p w14:paraId="53975C73">
                  <w:pPr>
                    <w:tabs>
                      <w:tab w:val="left" w:pos="6915"/>
                    </w:tabs>
                    <w:ind w:firstLine="210" w:firstLineChars="100"/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真空兼容</w:t>
                  </w:r>
                </w:p>
              </w:tc>
              <w:tc>
                <w:tcPr>
                  <w:tcW w:w="3698" w:type="dxa"/>
                </w:tcPr>
                <w:p w14:paraId="70C28B0E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≤1</w:t>
                  </w:r>
                  <w:r>
                    <w:rPr>
                      <w:bCs/>
                      <w:szCs w:val="21"/>
                    </w:rPr>
                    <w:t>×</w:t>
                  </w:r>
                  <w:r>
                    <w:rPr>
                      <w:rFonts w:hint="eastAsia"/>
                      <w:bCs/>
                      <w:szCs w:val="21"/>
                    </w:rPr>
                    <w:t>10</w:t>
                  </w:r>
                  <w:r>
                    <w:rPr>
                      <w:rFonts w:hint="eastAsia"/>
                      <w:bCs/>
                      <w:szCs w:val="21"/>
                      <w:vertAlign w:val="superscript"/>
                    </w:rPr>
                    <w:t xml:space="preserve">-6 </w:t>
                  </w:r>
                  <w:r>
                    <w:rPr>
                      <w:rFonts w:hint="eastAsia"/>
                      <w:bCs/>
                      <w:szCs w:val="21"/>
                    </w:rPr>
                    <w:t>Pa</w:t>
                  </w:r>
                </w:p>
              </w:tc>
            </w:tr>
          </w:tbl>
          <w:p w14:paraId="4C73656C">
            <w:pPr>
              <w:tabs>
                <w:tab w:val="left" w:pos="6915"/>
              </w:tabs>
              <w:rPr>
                <w:bCs/>
                <w:sz w:val="24"/>
              </w:rPr>
            </w:pPr>
          </w:p>
        </w:tc>
        <w:tc>
          <w:tcPr>
            <w:tcW w:w="1464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7" w:hRule="atLeast"/>
        </w:trPr>
        <w:tc>
          <w:tcPr>
            <w:tcW w:w="72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388EEA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合同签订后1</w:t>
            </w:r>
            <w:r>
              <w:rPr>
                <w:rFonts w:ascii="宋体" w:hAnsi="宋体"/>
                <w:b w:val="0"/>
                <w:bCs/>
                <w:szCs w:val="21"/>
              </w:rPr>
              <w:t>0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个月内</w:t>
            </w:r>
          </w:p>
          <w:p w14:paraId="174FD61F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一次性交付</w:t>
            </w:r>
          </w:p>
          <w:p w14:paraId="2DC6EBE7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：（二选一）：</w:t>
            </w:r>
          </w:p>
          <w:p w14:paraId="4354CE4A">
            <w:pPr>
              <w:ind w:firstLine="420" w:firstLineChars="200"/>
              <w:rPr>
                <w:bCs/>
              </w:rPr>
            </w:pPr>
            <w:r>
              <w:rPr>
                <w:rFonts w:hint="eastAsia" w:ascii="宋体" w:hAnsi="宋体"/>
                <w:bCs/>
                <w:szCs w:val="21"/>
              </w:rPr>
              <w:t>国产产品：</w:t>
            </w:r>
          </w:p>
          <w:p w14:paraId="277AD0C4">
            <w:pPr>
              <w:ind w:firstLine="420"/>
            </w:pPr>
            <w:r>
              <w:rPr>
                <w:rFonts w:hint="eastAsia"/>
              </w:rPr>
              <w:t>（1）合同签订后，买方支付合同总价的50%；</w:t>
            </w:r>
          </w:p>
          <w:p w14:paraId="2DA7A78D">
            <w:pPr>
              <w:ind w:firstLine="420"/>
            </w:pPr>
            <w:r>
              <w:rPr>
                <w:rFonts w:hint="eastAsia"/>
              </w:rPr>
              <w:t>（2）货物在制造现场预验收完毕后，买方支付合同总价的30%；</w:t>
            </w:r>
          </w:p>
          <w:p w14:paraId="13D3967B">
            <w:pPr>
              <w:ind w:firstLine="420"/>
            </w:pPr>
            <w:r>
              <w:rPr>
                <w:rFonts w:hint="eastAsia"/>
              </w:rPr>
              <w:t>（3）货到买方指定地点并且经买方验收合格后，买方支付合同总价的20%。</w:t>
            </w:r>
          </w:p>
          <w:p w14:paraId="3740A063">
            <w:pPr>
              <w:ind w:firstLine="420"/>
            </w:pPr>
            <w:r>
              <w:rPr>
                <w:rFonts w:hint="eastAsia"/>
              </w:rPr>
              <w:t>进口产品：</w:t>
            </w:r>
          </w:p>
          <w:p w14:paraId="4555B62E">
            <w:pPr>
              <w:ind w:firstLine="420"/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原则上应采用信用证方式或凭发货单据（运单）电汇预付比例不超过90%，尾款待验收合格之后支付。</w:t>
            </w:r>
          </w:p>
          <w:p w14:paraId="043ACFBE">
            <w:pPr>
              <w:ind w:firstLine="420"/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既非信用证又非凭发运单据（运单）电汇预付比例不超过30%，超过30%时须提供等额预付款保函。</w:t>
            </w:r>
          </w:p>
          <w:p w14:paraId="5F405502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</w:p>
          <w:p w14:paraId="2261B562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厂家需对快门进行出厂测试，满足规格和技术参数给出的要求。</w:t>
            </w:r>
          </w:p>
          <w:p w14:paraId="1978450C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</w:p>
          <w:p w14:paraId="35FDAC09">
            <w:pPr>
              <w:tabs>
                <w:tab w:val="left" w:pos="6915"/>
              </w:tabs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1. 厂家提供一年的免费保修, 保修期自仪器安装验收之日起计算。如在保修期内，需返厂维修，厂家承担所有费用，且保修期相应顺延。在保修期结束前一个月内，厂家上门进行设备整体检修。</w:t>
            </w:r>
          </w:p>
          <w:p w14:paraId="717A1ADC">
            <w:pPr>
              <w:pStyle w:val="11"/>
              <w:numPr>
                <w:ilvl w:val="0"/>
                <w:numId w:val="0"/>
              </w:numPr>
              <w:tabs>
                <w:tab w:val="left" w:pos="6915"/>
                <w:tab w:val="clear" w:pos="1428"/>
              </w:tabs>
              <w:ind w:leftChars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2. 保修期内的服务由厂家负责，电话报修后 24 小时上门服务、72 小时内排除故障，如有必要尽快派出维修人员到达现场进行服务。</w:t>
            </w:r>
            <w:bookmarkStart w:id="0" w:name="_GoBack"/>
            <w:bookmarkEnd w:id="0"/>
          </w:p>
        </w:tc>
        <w:tc>
          <w:tcPr>
            <w:tcW w:w="1464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80627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E2C0C"/>
    <w:rsid w:val="005F7E7B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93C12EB"/>
    <w:rsid w:val="2D070EC5"/>
    <w:rsid w:val="468B21C7"/>
    <w:rsid w:val="46BF17AE"/>
    <w:rsid w:val="48EB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459</Words>
  <Characters>566</Characters>
  <Lines>5</Lines>
  <Paragraphs>1</Paragraphs>
  <TotalTime>0</TotalTime>
  <ScaleCrop>false</ScaleCrop>
  <LinksUpToDate>false</LinksUpToDate>
  <CharactersWithSpaces>610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2025-12-23T09:03:40Z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eyJoZGlkIjoiN2RlYWI4ZWUzNTBhNTYxZTE1ZDI0ZDliNjg4YTQ3ZjIiLCJ1c2VySWQiOiIxNzc0OTA2Mjk1In0=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