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2"/>
                <w:szCs w:val="22"/>
              </w:rPr>
              <w:t>串口服务器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F4CF3A5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将RS-232/422/485串口数据转换成以太网TCP/IP、UPD数据，实现串口设备的网络接入。</w:t>
            </w:r>
          </w:p>
          <w:p w14:paraId="162BCC52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配备串行接口≥16个，连接器形式为8-pin RJ45，支持RS-232/422/485数据标准。 </w:t>
            </w:r>
          </w:p>
          <w:p w14:paraId="294A354A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配备RJ45以太网端口，支持10/100 Mbit/s自适应，网络模块可提供冗余以太网(STP/RSTP/TurboRing)功能,支持IPv4/IPv6；配备Console控制端口。</w:t>
            </w:r>
          </w:p>
          <w:p w14:paraId="1EEB2702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支持波特率可调，满足不同数据传输速率需求；配备SD卡插槽以支持内存扩容。</w:t>
            </w:r>
          </w:p>
          <w:p w14:paraId="3E444A5F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支持SNMP、DHCP、DNS、Telnet等常用协议，内置Web服务器，可通过浏览器进行配置管理；可通过Telnet进行命令行配置；支持TCP服务器/客户端模式，网络断开情况下支持数据缓存；支持UPD模式、虚拟COM的数据传输；提供底层驱动支持。</w:t>
            </w:r>
          </w:p>
          <w:p w14:paraId="5CE605C3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支持19英寸1U机架式挂耳安装；提供LCD显示屏用于配置IP地址等参数；提供LED指示灯，可诊断电源、网络链路以及串口的数据收发状态。</w:t>
            </w:r>
          </w:p>
          <w:p w14:paraId="3D3AC8D0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支持RealCOM、TCPServer、TCPClient、配对连接、终端和反向终端的安全运行模式；支持基于IEC62443的安全功能,支持SSL和SSH安全协议进行串口数据加密传输。</w:t>
            </w:r>
          </w:p>
          <w:p w14:paraId="217AE9B9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符合国际通用安全标准，具有CE或UL等相关认证。</w:t>
            </w:r>
          </w:p>
          <w:p w14:paraId="39F0394A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>
              <w:rPr>
                <w:rFonts w:hint="eastAsia" w:ascii="宋体" w:hAnsi="宋体"/>
                <w:b/>
                <w:szCs w:val="21"/>
              </w:rPr>
              <w:t>数量：</w:t>
            </w:r>
            <w:r>
              <w:rPr>
                <w:rFonts w:hint="eastAsia" w:ascii="宋体" w:hAnsi="宋体"/>
                <w:bCs/>
                <w:szCs w:val="21"/>
              </w:rPr>
              <w:t>8</w:t>
            </w:r>
            <w:r>
              <w:rPr>
                <w:rFonts w:ascii="宋体" w:hAnsi="宋体"/>
                <w:bCs/>
                <w:szCs w:val="21"/>
              </w:rPr>
              <w:t>0</w:t>
            </w:r>
            <w:r>
              <w:rPr>
                <w:rFonts w:hint="eastAsia" w:ascii="宋体" w:hAnsi="宋体"/>
                <w:bCs/>
                <w:szCs w:val="21"/>
              </w:rPr>
              <w:t>台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C6791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合同生效之日起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hint="eastAsia" w:ascii="宋体" w:hAnsi="宋体"/>
                <w:bCs/>
                <w:szCs w:val="21"/>
              </w:rPr>
              <w:t>个月内将所有货物送达指定地点。</w:t>
            </w:r>
          </w:p>
          <w:p w14:paraId="063DF81A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439688E6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合同签订后，支付合同总价的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hint="eastAsia" w:ascii="宋体" w:hAnsi="宋体"/>
                <w:bCs/>
                <w:szCs w:val="21"/>
              </w:rPr>
              <w:t xml:space="preserve">0%的预付款； </w:t>
            </w:r>
          </w:p>
          <w:p w14:paraId="2EBFB449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全部货物货到现场并验收合格后，支付合同尾款；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注：最后一次付款前，供应商须向采购人提供100%合同价款的增值税专用发票。</w:t>
            </w:r>
          </w:p>
          <w:p w14:paraId="6D36D77A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Cs/>
                <w:szCs w:val="21"/>
              </w:rPr>
              <w:t>产品合格证</w:t>
            </w:r>
          </w:p>
          <w:p w14:paraId="0BAB372B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质保期不少于</w:t>
            </w:r>
            <w:r>
              <w:rPr>
                <w:rFonts w:ascii="宋体" w:hAnsi="宋体"/>
                <w:bCs/>
                <w:szCs w:val="21"/>
              </w:rPr>
              <w:t>24</w:t>
            </w:r>
            <w:r>
              <w:rPr>
                <w:rFonts w:hint="eastAsia" w:ascii="宋体" w:hAnsi="宋体"/>
                <w:bCs/>
                <w:szCs w:val="21"/>
              </w:rPr>
              <w:t>个月，起始日期以收到货物并通过验收之日开始计算。质保期内，供应商负责免费更换和维修零部件。</w:t>
            </w: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A16E7A"/>
    <w:multiLevelType w:val="multilevel"/>
    <w:tmpl w:val="79A16E7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1A9D54C9"/>
    <w:rsid w:val="24FF7627"/>
    <w:rsid w:val="251E174D"/>
    <w:rsid w:val="2D070EC5"/>
    <w:rsid w:val="40512489"/>
    <w:rsid w:val="443C2C27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554</Words>
  <Characters>654</Characters>
  <Lines>11</Lines>
  <Paragraphs>3</Paragraphs>
  <TotalTime>0</TotalTime>
  <ScaleCrop>false</ScaleCrop>
  <LinksUpToDate>false</LinksUpToDate>
  <CharactersWithSpaces>701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2026-04-03T07:33:48Z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